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rPr>
          <w:rFonts w:ascii="黑体" w:hAnsi="黑体" w:eastAsia="黑体" w:cs="Arial"/>
          <w:kern w:val="0"/>
          <w:sz w:val="32"/>
          <w:szCs w:val="44"/>
        </w:rPr>
      </w:pPr>
      <w:r>
        <w:rPr>
          <w:rFonts w:hint="eastAsia" w:ascii="黑体" w:hAnsi="黑体" w:eastAsia="黑体" w:cs="Arial"/>
          <w:kern w:val="0"/>
          <w:sz w:val="32"/>
          <w:szCs w:val="44"/>
        </w:rPr>
        <w:t>附件1</w:t>
      </w:r>
    </w:p>
    <w:p>
      <w:pPr>
        <w:widowControl/>
        <w:spacing w:before="156" w:beforeLines="50"/>
        <w:jc w:val="center"/>
        <w:rPr>
          <w:rFonts w:ascii="方正小标宋_GBK" w:hAnsi="Arial" w:eastAsia="方正小标宋_GBK" w:cs="Arial"/>
          <w:kern w:val="0"/>
          <w:sz w:val="44"/>
          <w:szCs w:val="44"/>
        </w:rPr>
      </w:pPr>
      <w:r>
        <w:rPr>
          <w:rFonts w:hint="eastAsia" w:ascii="方正小标宋_GBK" w:hAnsi="Arial" w:eastAsia="方正小标宋_GBK" w:cs="Arial"/>
          <w:kern w:val="0"/>
          <w:sz w:val="44"/>
          <w:szCs w:val="44"/>
        </w:rPr>
        <w:t>20</w:t>
      </w:r>
      <w:r>
        <w:rPr>
          <w:rFonts w:ascii="方正小标宋_GBK" w:hAnsi="Arial" w:eastAsia="方正小标宋_GBK" w:cs="Arial"/>
          <w:kern w:val="0"/>
          <w:sz w:val="44"/>
          <w:szCs w:val="44"/>
        </w:rPr>
        <w:t>21</w:t>
      </w:r>
      <w:r>
        <w:rPr>
          <w:rFonts w:hint="eastAsia" w:ascii="方正小标宋_GBK" w:hAnsi="Arial" w:eastAsia="方正小标宋_GBK" w:cs="Arial"/>
          <w:kern w:val="0"/>
          <w:sz w:val="44"/>
          <w:szCs w:val="44"/>
        </w:rPr>
        <w:t>年智慧江苏重点工程名单</w:t>
      </w:r>
    </w:p>
    <w:p>
      <w:pPr>
        <w:widowControl/>
        <w:jc w:val="center"/>
        <w:rPr>
          <w:rFonts w:ascii="Arial" w:hAnsi="Arial" w:cs="Arial"/>
          <w:kern w:val="0"/>
          <w:sz w:val="24"/>
          <w:szCs w:val="24"/>
        </w:rPr>
      </w:pPr>
    </w:p>
    <w:tbl>
      <w:tblPr>
        <w:tblStyle w:val="6"/>
        <w:tblW w:w="9490" w:type="dxa"/>
        <w:jc w:val="center"/>
        <w:tblLayout w:type="autofit"/>
        <w:tblCellMar>
          <w:top w:w="15" w:type="dxa"/>
          <w:left w:w="15" w:type="dxa"/>
          <w:bottom w:w="15" w:type="dxa"/>
          <w:right w:w="15" w:type="dxa"/>
        </w:tblCellMar>
      </w:tblPr>
      <w:tblGrid>
        <w:gridCol w:w="774"/>
        <w:gridCol w:w="4718"/>
        <w:gridCol w:w="3998"/>
      </w:tblGrid>
      <w:tr>
        <w:tblPrEx>
          <w:tblCellMar>
            <w:top w:w="15" w:type="dxa"/>
            <w:left w:w="15" w:type="dxa"/>
            <w:bottom w:w="15" w:type="dxa"/>
            <w:right w:w="15" w:type="dxa"/>
          </w:tblCellMar>
        </w:tblPrEx>
        <w:trPr>
          <w:trHeight w:val="498" w:hRule="atLeast"/>
          <w:tblHeader/>
          <w:jc w:val="center"/>
        </w:trPr>
        <w:tc>
          <w:tcPr>
            <w:tcW w:w="77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黑体"/>
                <w:kern w:val="0"/>
                <w:sz w:val="28"/>
                <w:szCs w:val="28"/>
              </w:rPr>
            </w:pPr>
            <w:r>
              <w:rPr>
                <w:rFonts w:ascii="Times New Roman" w:hAnsi="Times New Roman" w:eastAsia="黑体"/>
                <w:kern w:val="0"/>
                <w:sz w:val="28"/>
                <w:szCs w:val="28"/>
              </w:rPr>
              <w:t>序号</w:t>
            </w:r>
          </w:p>
        </w:tc>
        <w:tc>
          <w:tcPr>
            <w:tcW w:w="47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黑体" w:hAnsi="黑体" w:eastAsia="黑体" w:cs="Arial"/>
                <w:kern w:val="0"/>
                <w:sz w:val="28"/>
                <w:szCs w:val="30"/>
              </w:rPr>
            </w:pPr>
            <w:r>
              <w:rPr>
                <w:rFonts w:hint="eastAsia" w:ascii="黑体" w:hAnsi="黑体" w:eastAsia="黑体" w:cs="Arial"/>
                <w:kern w:val="0"/>
                <w:sz w:val="28"/>
                <w:szCs w:val="30"/>
              </w:rPr>
              <w:t>项目名称</w:t>
            </w:r>
          </w:p>
        </w:tc>
        <w:tc>
          <w:tcPr>
            <w:tcW w:w="399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黑体" w:hAnsi="黑体" w:eastAsia="黑体" w:cs="Arial"/>
                <w:kern w:val="0"/>
                <w:sz w:val="28"/>
                <w:szCs w:val="30"/>
              </w:rPr>
            </w:pPr>
            <w:r>
              <w:rPr>
                <w:rFonts w:hint="eastAsia" w:ascii="黑体" w:hAnsi="黑体" w:eastAsia="黑体" w:cs="Arial"/>
                <w:kern w:val="0"/>
                <w:sz w:val="28"/>
                <w:szCs w:val="30"/>
              </w:rPr>
              <w:t>建设单位</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智慧口腔综合诊疗服务平台的建设与应用示范</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南京医科大学附属口腔医院</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淮安机场信息化能力提升项目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中电莱斯信息系统有限公司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南水北调江苏智能调度系统</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南水北调东线江苏水源有限责任公司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基于5G技术的智慧中药房示范应用工程项目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苏州信亨自动化科技有限公司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政务云公共能力开放平台及“我的南京”APP大学生版</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南京市大数据管理局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6</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“数字金鸡湖”苏州工业园区数字人民币生态建设项目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spacing w:val="-8"/>
                <w:kern w:val="0"/>
                <w:sz w:val="28"/>
                <w:szCs w:val="28"/>
              </w:rPr>
            </w:pPr>
            <w:r>
              <w:rPr>
                <w:rFonts w:hint="eastAsia" w:ascii="Times New Roman" w:hAnsi="Times New Roman" w:eastAsia="方正仿宋_GBK" w:cs="Times New Roman"/>
                <w:color w:val="000000"/>
                <w:spacing w:val="-8"/>
                <w:kern w:val="0"/>
                <w:sz w:val="28"/>
                <w:szCs w:val="28"/>
              </w:rPr>
              <w:t>中国银行股份有限公司苏州分行</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7</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江苏省工业信息安全保障中心建设及服务</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江苏省电子信息产品质量监督检验研究院</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8</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江苏省信易贷平台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江苏省联合征信有限公司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9</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省人社一体化信息平台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江苏省人力资源和社会保障厅</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江南银行融合数据湖</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江苏江南农村商业银行股份有限公司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11</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徐州市“以智管废”智慧管理平台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徐州新盛绿源循环经济产业投资发展有限公司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12</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医院疫情防控应急指挥平台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边缘智能研究院南京有限公司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13</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spacing w:val="-8"/>
                <w:kern w:val="0"/>
                <w:sz w:val="28"/>
                <w:szCs w:val="28"/>
              </w:rPr>
            </w:pPr>
            <w:r>
              <w:rPr>
                <w:rFonts w:hint="eastAsia" w:ascii="Times New Roman" w:hAnsi="Times New Roman" w:eastAsia="方正仿宋_GBK" w:cs="Times New Roman"/>
                <w:color w:val="000000"/>
                <w:spacing w:val="-8"/>
                <w:kern w:val="0"/>
                <w:sz w:val="28"/>
                <w:szCs w:val="28"/>
              </w:rPr>
              <w:t>智慧校园建设应用与规范标准示范工程</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常州信息职业技术学院</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14</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南京市“互联网+政务服务”“一网通办”建设重点工程</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南京南大智慧城市规划设计股份有限公司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15</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无锡市城市运行管理中心</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无锡市大数据管理局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16</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面向医院智慧管理的大数据平台建设及应用</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南京医科大学第一附属医院</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17</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基于仿真技术的车联网攻防对抗靶场研究开发及产业化</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南京赛宁信息技术有限公司</w:t>
            </w:r>
          </w:p>
        </w:tc>
      </w:tr>
      <w:tr>
        <w:tblPrEx>
          <w:tblCellMar>
            <w:top w:w="15" w:type="dxa"/>
            <w:left w:w="15" w:type="dxa"/>
            <w:bottom w:w="15" w:type="dxa"/>
            <w:right w:w="15" w:type="dxa"/>
          </w:tblCellMar>
        </w:tblPrEx>
        <w:trPr>
          <w:trHeight w:val="964"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18</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江苏省自然资源违法行为实时智能监管系统</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江苏省国土资源信息中心</w:t>
            </w:r>
          </w:p>
        </w:tc>
      </w:tr>
      <w:tr>
        <w:tblPrEx>
          <w:tblCellMar>
            <w:top w:w="15" w:type="dxa"/>
            <w:left w:w="15" w:type="dxa"/>
            <w:bottom w:w="15" w:type="dxa"/>
            <w:right w:w="15" w:type="dxa"/>
          </w:tblCellMar>
        </w:tblPrEx>
        <w:trPr>
          <w:trHeight w:val="964"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19</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南京市江北新区新材料科技园企业园区边界及周边敏感区大气监测数据及异常因子排查溯源服务</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江苏环保产业技术研究院股份公司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20</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太仓市一网通办平台项目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太仓市行政审批局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21</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“e窗行”平台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spacing w:val="-8"/>
                <w:kern w:val="0"/>
                <w:sz w:val="28"/>
                <w:szCs w:val="28"/>
              </w:rPr>
            </w:pPr>
            <w:r>
              <w:rPr>
                <w:rFonts w:hint="eastAsia" w:ascii="Times New Roman" w:hAnsi="Times New Roman" w:eastAsia="方正仿宋_GBK" w:cs="Times New Roman"/>
                <w:color w:val="000000"/>
                <w:spacing w:val="-8"/>
                <w:kern w:val="0"/>
                <w:sz w:val="28"/>
                <w:szCs w:val="28"/>
              </w:rPr>
              <w:t>徐州经济技术开发区行政审批局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22</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博闻大数据-全球媒介传播效果分析服务平台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央视国际网络无锡有限公司</w:t>
            </w:r>
          </w:p>
        </w:tc>
      </w:tr>
      <w:tr>
        <w:tblPrEx>
          <w:tblCellMar>
            <w:top w:w="15" w:type="dxa"/>
            <w:left w:w="15" w:type="dxa"/>
            <w:bottom w:w="15" w:type="dxa"/>
            <w:right w:w="15" w:type="dxa"/>
          </w:tblCellMar>
        </w:tblPrEx>
        <w:trPr>
          <w:trHeight w:val="964"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23</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江苏交通综合执法大脑（江苏省交通综合执法安全畅通应急处置与统计分析动态监测项目）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江苏省交通运输综合行政执法监督局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24</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江苏省卫生健康云（影像平台）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江苏省卫生健康委员会</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25</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5G+工业互联网在散杂货港口的智能化应用</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镇江港务集团有限公司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26</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江苏省农业农村大数据云平台（苏农云）建设项目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江苏省互联网农业发展中心</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27</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田湾核电站7、8号机组智慧工地管理平台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江苏核电有限公司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28</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基于大数据的城市有机质的智慧化管理平台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江苏泓润生物质能科技有限公司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29</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产业大脑</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苏州云联智慧信息技术应用有限公司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95" w:lineRule="atLeast"/>
              <w:jc w:val="center"/>
              <w:rPr>
                <w:rFonts w:ascii="Times New Roman" w:hAnsi="Times New Roman" w:eastAsia="方正仿宋_GBK"/>
                <w:kern w:val="0"/>
                <w:sz w:val="28"/>
                <w:szCs w:val="28"/>
              </w:rPr>
            </w:pPr>
            <w:r>
              <w:rPr>
                <w:rFonts w:ascii="Times New Roman" w:hAnsi="Times New Roman" w:eastAsia="方正仿宋_GBK"/>
                <w:kern w:val="0"/>
                <w:sz w:val="28"/>
                <w:szCs w:val="28"/>
              </w:rPr>
              <w:t>30</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太湖街道融湾颐湾智慧社区服务项目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苏州市吴中区人民政府太湖街道办事处</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等线"/>
                <w:color w:val="000000"/>
                <w:kern w:val="0"/>
                <w:sz w:val="28"/>
                <w:szCs w:val="28"/>
              </w:rPr>
            </w:pPr>
            <w:r>
              <w:rPr>
                <w:rFonts w:ascii="Times New Roman" w:hAnsi="Times New Roman" w:eastAsia="等线"/>
                <w:color w:val="000000"/>
                <w:sz w:val="28"/>
                <w:szCs w:val="28"/>
              </w:rPr>
              <w:t>31</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基于危险化学品生产过程的电气安全应急管理平台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spacing w:val="-8"/>
                <w:kern w:val="0"/>
                <w:sz w:val="28"/>
                <w:szCs w:val="28"/>
              </w:rPr>
            </w:pPr>
            <w:r>
              <w:rPr>
                <w:rFonts w:hint="eastAsia" w:ascii="Times New Roman" w:hAnsi="Times New Roman" w:eastAsia="方正仿宋_GBK" w:cs="Times New Roman"/>
                <w:color w:val="000000"/>
                <w:spacing w:val="-8"/>
                <w:kern w:val="0"/>
                <w:sz w:val="28"/>
                <w:szCs w:val="28"/>
              </w:rPr>
              <w:t>常州天正工业发展股份有限公司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32</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spacing w:val="-8"/>
                <w:kern w:val="0"/>
                <w:sz w:val="28"/>
                <w:szCs w:val="28"/>
              </w:rPr>
            </w:pPr>
            <w:r>
              <w:rPr>
                <w:rFonts w:hint="eastAsia" w:ascii="Times New Roman" w:hAnsi="Times New Roman" w:eastAsia="方正仿宋_GBK" w:cs="Times New Roman"/>
                <w:color w:val="000000"/>
                <w:spacing w:val="-8"/>
                <w:kern w:val="0"/>
                <w:sz w:val="28"/>
                <w:szCs w:val="28"/>
              </w:rPr>
              <w:t>江苏省新高考智慧服务信息化建设工程</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江苏省教育考试院</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33</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国家智能交通综合测试基地建设</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公安部交通管理科学研究所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34</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工业互联网标识应用平台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江苏天目湖互联科技有限公司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35</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江苏省发展和改革委员会分布式智能会议系统</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江苏省发展和改革委员会</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36</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江苏省互联网医疗健康服务与监管一体化平台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江苏省卫生统计信息中心</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37</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“江苏阳光智慧信访”一期工程</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江苏省信访局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38</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数智化服务普惠金融项目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江苏苏州农村商业银行股份有限公司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39</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特种设备“天网”工程</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南通市通州区市场监督管理局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40</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中国电信“翼安居”</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中国电信股份有限公司江苏分公司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41</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5G+MEC智慧轨道交通项目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中国联合网络通信有限公司南京市分公司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42</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连云港石化产业基地封闭管理工程智能化项目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江苏洋井石化集团有限公司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43</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中恒大耀纺织产业互联网及大数据应用平台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中恒大耀纺织科技有限公司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44</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江苏省工程建设项目审批管理系统</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江苏省住房和城乡建设厅</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45</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盐城市应急管理信息化项目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盐城市应急管理局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46</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智水苏州—城区活水联控联调系统平台示范应用</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江苏中科智能系统有限公司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47</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江苏省重点区域VOCs监测监控系统项目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江苏省苏力环境科技有限责任公司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48</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体医融合智慧服务平台项目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spacing w:val="-8"/>
                <w:kern w:val="0"/>
                <w:sz w:val="28"/>
                <w:szCs w:val="28"/>
              </w:rPr>
            </w:pPr>
            <w:r>
              <w:rPr>
                <w:rFonts w:hint="eastAsia" w:ascii="Times New Roman" w:hAnsi="Times New Roman" w:eastAsia="方正仿宋_GBK" w:cs="Times New Roman"/>
                <w:color w:val="000000"/>
                <w:spacing w:val="-8"/>
                <w:kern w:val="0"/>
                <w:sz w:val="28"/>
                <w:szCs w:val="28"/>
              </w:rPr>
              <w:t>江苏苏体运动健康管理有限公司</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49</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苏州城市生活服务总入口APP“苏周到”</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before="31" w:beforeLines="10" w:after="31" w:afterLines="10"/>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苏州市人民政府办公室（市大数据管理局）</w:t>
            </w:r>
          </w:p>
        </w:tc>
      </w:tr>
      <w:tr>
        <w:tblPrEx>
          <w:tblCellMar>
            <w:top w:w="15" w:type="dxa"/>
            <w:left w:w="15" w:type="dxa"/>
            <w:bottom w:w="15" w:type="dxa"/>
            <w:right w:w="15" w:type="dxa"/>
          </w:tblCellMar>
        </w:tblPrEx>
        <w:trPr>
          <w:trHeight w:val="907" w:hRule="atLeast"/>
          <w:jc w:val="center"/>
        </w:trPr>
        <w:tc>
          <w:tcPr>
            <w:tcW w:w="77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Times New Roman" w:hAnsi="Times New Roman" w:eastAsia="等线"/>
                <w:color w:val="000000"/>
                <w:sz w:val="28"/>
                <w:szCs w:val="28"/>
              </w:rPr>
            </w:pPr>
            <w:r>
              <w:rPr>
                <w:rFonts w:ascii="Times New Roman" w:hAnsi="Times New Roman" w:eastAsia="等线"/>
                <w:color w:val="000000"/>
                <w:sz w:val="28"/>
                <w:szCs w:val="28"/>
              </w:rPr>
              <w:t>50</w:t>
            </w:r>
          </w:p>
        </w:tc>
        <w:tc>
          <w:tcPr>
            <w:tcW w:w="4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江苏省城乡结对互动课堂项目</w:t>
            </w:r>
          </w:p>
        </w:tc>
        <w:tc>
          <w:tcPr>
            <w:tcW w:w="39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江苏省电化教育馆</w:t>
            </w:r>
          </w:p>
        </w:tc>
      </w:tr>
    </w:tbl>
    <w:p>
      <w:bookmarkStart w:id="0" w:name="_GoBack"/>
      <w:bookmarkEnd w:id="0"/>
    </w:p>
    <w:sectPr>
      <w:footerReference r:id="rId3" w:type="default"/>
      <w:pgSz w:w="11906" w:h="16838"/>
      <w:pgMar w:top="1701" w:right="1797" w:bottom="147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061044"/>
      <w:docPartObj>
        <w:docPartGallery w:val="AutoText"/>
      </w:docPartObj>
    </w:sdtPr>
    <w:sdtEndPr>
      <w:rPr>
        <w:rFonts w:ascii="Times New Roman" w:hAnsi="Times New Roman" w:cs="Times New Roman"/>
        <w:sz w:val="28"/>
      </w:rPr>
    </w:sdtEndPr>
    <w:sdtContent>
      <w:p>
        <w:pPr>
          <w:pStyle w:val="3"/>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D4"/>
    <w:rsid w:val="000A1AF9"/>
    <w:rsid w:val="00165C38"/>
    <w:rsid w:val="001C0841"/>
    <w:rsid w:val="001D4A00"/>
    <w:rsid w:val="001E4684"/>
    <w:rsid w:val="00205E2C"/>
    <w:rsid w:val="002230EA"/>
    <w:rsid w:val="00224DA7"/>
    <w:rsid w:val="002B781C"/>
    <w:rsid w:val="003375CB"/>
    <w:rsid w:val="00460964"/>
    <w:rsid w:val="0046263C"/>
    <w:rsid w:val="004B6995"/>
    <w:rsid w:val="0059152E"/>
    <w:rsid w:val="006C10A9"/>
    <w:rsid w:val="00725C78"/>
    <w:rsid w:val="0073558C"/>
    <w:rsid w:val="007A6283"/>
    <w:rsid w:val="008348D5"/>
    <w:rsid w:val="008573EB"/>
    <w:rsid w:val="009021D6"/>
    <w:rsid w:val="009F6B81"/>
    <w:rsid w:val="00AC15B1"/>
    <w:rsid w:val="00AC60D1"/>
    <w:rsid w:val="00BB0931"/>
    <w:rsid w:val="00C22C67"/>
    <w:rsid w:val="00C37AD4"/>
    <w:rsid w:val="00E34AAE"/>
    <w:rsid w:val="00E43196"/>
    <w:rsid w:val="00E54AB7"/>
    <w:rsid w:val="00E7335E"/>
    <w:rsid w:val="00E855BC"/>
    <w:rsid w:val="00EA29B6"/>
    <w:rsid w:val="00EC757F"/>
    <w:rsid w:val="00F00D6B"/>
    <w:rsid w:val="00F16544"/>
    <w:rsid w:val="00FC1245"/>
    <w:rsid w:val="78DDA046"/>
    <w:rsid w:val="FDFEB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396</Words>
  <Characters>2260</Characters>
  <Lines>18</Lines>
  <Paragraphs>5</Paragraphs>
  <TotalTime>166</TotalTime>
  <ScaleCrop>false</ScaleCrop>
  <LinksUpToDate>false</LinksUpToDate>
  <CharactersWithSpaces>2651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2022-01-10T09:40:00Z</dcterms:created>
  <dc:creator>ABCwork</dc:creator>
  <cp:lastModifiedBy>uos</cp:lastModifiedBy>
  <cp:lastPrinted>2022-01-10T10:25:00Z</cp:lastPrinted>
  <dcterms:modified xsi:type="dcterms:W3CDTF">2022-01-10T14:31:21Z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