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210DD" w:rsidRDefault="002210DD">
      <w:pPr>
        <w:widowControl/>
        <w:ind w:firstLine="883"/>
        <w:jc w:val="center"/>
        <w:rPr>
          <w:b/>
          <w:sz w:val="44"/>
          <w:szCs w:val="44"/>
        </w:rPr>
      </w:pPr>
    </w:p>
    <w:p w:rsidR="002210DD" w:rsidRDefault="002210DD">
      <w:pPr>
        <w:widowControl/>
        <w:ind w:firstLine="883"/>
        <w:jc w:val="center"/>
        <w:rPr>
          <w:b/>
          <w:sz w:val="44"/>
          <w:szCs w:val="44"/>
        </w:rPr>
      </w:pPr>
    </w:p>
    <w:p w:rsidR="002210DD" w:rsidRDefault="002210DD">
      <w:pPr>
        <w:widowControl/>
        <w:ind w:firstLine="883"/>
        <w:jc w:val="center"/>
        <w:rPr>
          <w:b/>
          <w:sz w:val="44"/>
          <w:szCs w:val="44"/>
        </w:rPr>
      </w:pPr>
    </w:p>
    <w:p w:rsidR="002210DD" w:rsidRDefault="002210DD">
      <w:pPr>
        <w:widowControl/>
        <w:ind w:firstLine="883"/>
        <w:jc w:val="center"/>
        <w:rPr>
          <w:b/>
          <w:sz w:val="44"/>
          <w:szCs w:val="44"/>
        </w:rPr>
      </w:pPr>
    </w:p>
    <w:p w:rsidR="002210DD" w:rsidRDefault="002210DD">
      <w:pPr>
        <w:widowControl/>
        <w:ind w:firstLine="883"/>
        <w:jc w:val="center"/>
        <w:rPr>
          <w:b/>
          <w:sz w:val="44"/>
          <w:szCs w:val="44"/>
        </w:rPr>
      </w:pPr>
    </w:p>
    <w:p w:rsidR="002210DD" w:rsidRDefault="002210DD">
      <w:pPr>
        <w:widowControl/>
        <w:ind w:firstLine="883"/>
        <w:jc w:val="center"/>
        <w:rPr>
          <w:b/>
          <w:sz w:val="44"/>
          <w:szCs w:val="44"/>
        </w:rPr>
      </w:pPr>
    </w:p>
    <w:p w:rsidR="002210DD" w:rsidRDefault="00A205B8">
      <w:pPr>
        <w:widowControl/>
        <w:spacing w:afterLines="100" w:after="312" w:line="480" w:lineRule="auto"/>
        <w:ind w:firstLineChars="0" w:firstLine="0"/>
        <w:jc w:val="center"/>
        <w:rPr>
          <w:rFonts w:eastAsia="黑体"/>
          <w:b/>
          <w:sz w:val="44"/>
          <w:szCs w:val="44"/>
        </w:rPr>
      </w:pPr>
      <w:r>
        <w:rPr>
          <w:rFonts w:eastAsia="黑体"/>
          <w:b/>
          <w:sz w:val="44"/>
          <w:szCs w:val="44"/>
        </w:rPr>
        <w:t>《环境空气气态污染物（</w:t>
      </w:r>
      <w:r>
        <w:rPr>
          <w:rFonts w:eastAsia="黑体"/>
          <w:b/>
          <w:sz w:val="44"/>
          <w:szCs w:val="44"/>
        </w:rPr>
        <w:t>SO</w:t>
      </w:r>
      <w:r>
        <w:rPr>
          <w:rFonts w:eastAsia="黑体"/>
          <w:b/>
          <w:sz w:val="44"/>
          <w:szCs w:val="44"/>
          <w:vertAlign w:val="subscript"/>
        </w:rPr>
        <w:t>2</w:t>
      </w:r>
      <w:r>
        <w:rPr>
          <w:rFonts w:eastAsia="黑体"/>
          <w:b/>
          <w:sz w:val="44"/>
          <w:szCs w:val="44"/>
        </w:rPr>
        <w:t>、</w:t>
      </w:r>
      <w:r>
        <w:rPr>
          <w:rFonts w:eastAsia="黑体"/>
          <w:b/>
          <w:sz w:val="44"/>
          <w:szCs w:val="44"/>
        </w:rPr>
        <w:t>NO</w:t>
      </w:r>
      <w:r>
        <w:rPr>
          <w:rFonts w:eastAsia="黑体"/>
          <w:b/>
          <w:sz w:val="44"/>
          <w:szCs w:val="44"/>
          <w:vertAlign w:val="subscript"/>
        </w:rPr>
        <w:t>2</w:t>
      </w:r>
      <w:r>
        <w:rPr>
          <w:rFonts w:eastAsia="黑体"/>
          <w:b/>
          <w:sz w:val="44"/>
          <w:szCs w:val="44"/>
        </w:rPr>
        <w:t>、</w:t>
      </w:r>
      <w:r>
        <w:rPr>
          <w:rFonts w:eastAsia="黑体"/>
          <w:b/>
          <w:sz w:val="44"/>
          <w:szCs w:val="44"/>
        </w:rPr>
        <w:t>NO</w:t>
      </w:r>
      <w:r>
        <w:rPr>
          <w:rFonts w:eastAsia="黑体"/>
          <w:b/>
          <w:sz w:val="44"/>
          <w:szCs w:val="44"/>
        </w:rPr>
        <w:t>、</w:t>
      </w:r>
      <w:r>
        <w:rPr>
          <w:rFonts w:eastAsia="黑体"/>
          <w:b/>
          <w:sz w:val="44"/>
          <w:szCs w:val="44"/>
        </w:rPr>
        <w:t>O</w:t>
      </w:r>
      <w:r>
        <w:rPr>
          <w:rFonts w:eastAsia="黑体"/>
          <w:b/>
          <w:sz w:val="44"/>
          <w:szCs w:val="44"/>
          <w:vertAlign w:val="subscript"/>
        </w:rPr>
        <w:t>3</w:t>
      </w:r>
      <w:r>
        <w:rPr>
          <w:rFonts w:eastAsia="黑体"/>
          <w:b/>
          <w:sz w:val="44"/>
          <w:szCs w:val="44"/>
        </w:rPr>
        <w:t>、</w:t>
      </w:r>
      <w:r>
        <w:rPr>
          <w:rFonts w:eastAsia="黑体"/>
          <w:b/>
          <w:sz w:val="44"/>
          <w:szCs w:val="44"/>
        </w:rPr>
        <w:t>CO</w:t>
      </w:r>
      <w:r>
        <w:rPr>
          <w:rFonts w:eastAsia="黑体"/>
          <w:b/>
          <w:sz w:val="44"/>
          <w:szCs w:val="44"/>
        </w:rPr>
        <w:t>）传感器法自动监测系统技术要求及检测方法》</w:t>
      </w:r>
    </w:p>
    <w:p w:rsidR="002210DD" w:rsidRDefault="00A205B8">
      <w:pPr>
        <w:widowControl/>
        <w:spacing w:afterLines="100" w:after="312" w:line="480" w:lineRule="auto"/>
        <w:ind w:firstLineChars="0" w:firstLine="0"/>
        <w:jc w:val="center"/>
        <w:rPr>
          <w:rFonts w:eastAsia="黑体"/>
          <w:b/>
          <w:sz w:val="44"/>
          <w:szCs w:val="44"/>
        </w:rPr>
      </w:pPr>
      <w:r>
        <w:rPr>
          <w:rFonts w:eastAsia="黑体"/>
          <w:b/>
          <w:sz w:val="44"/>
          <w:szCs w:val="44"/>
        </w:rPr>
        <w:t>编制说明</w:t>
      </w:r>
    </w:p>
    <w:p w:rsidR="002210DD" w:rsidRDefault="00A205B8">
      <w:pPr>
        <w:widowControl/>
        <w:spacing w:afterLines="100" w:after="312" w:line="480" w:lineRule="auto"/>
        <w:ind w:firstLineChars="0" w:firstLine="0"/>
        <w:jc w:val="center"/>
        <w:rPr>
          <w:rFonts w:eastAsia="黑体"/>
          <w:b/>
          <w:sz w:val="44"/>
          <w:szCs w:val="44"/>
        </w:rPr>
      </w:pPr>
      <w:r>
        <w:rPr>
          <w:rFonts w:eastAsia="黑体"/>
          <w:b/>
          <w:sz w:val="44"/>
          <w:szCs w:val="44"/>
        </w:rPr>
        <w:t>（</w:t>
      </w:r>
      <w:r w:rsidR="00B26E42">
        <w:rPr>
          <w:rFonts w:eastAsia="黑体" w:hint="eastAsia"/>
          <w:b/>
          <w:sz w:val="44"/>
          <w:szCs w:val="44"/>
        </w:rPr>
        <w:t>征求意见</w:t>
      </w:r>
      <w:r>
        <w:rPr>
          <w:rFonts w:eastAsia="黑体" w:hint="eastAsia"/>
          <w:b/>
          <w:sz w:val="44"/>
          <w:szCs w:val="44"/>
        </w:rPr>
        <w:t>稿</w:t>
      </w:r>
      <w:r>
        <w:rPr>
          <w:rFonts w:eastAsia="黑体"/>
          <w:b/>
          <w:sz w:val="44"/>
          <w:szCs w:val="44"/>
        </w:rPr>
        <w:t>）</w:t>
      </w:r>
    </w:p>
    <w:p w:rsidR="002210DD" w:rsidRDefault="002210DD">
      <w:pPr>
        <w:widowControl/>
        <w:spacing w:line="240" w:lineRule="auto"/>
        <w:ind w:firstLineChars="0" w:firstLine="0"/>
        <w:jc w:val="center"/>
        <w:rPr>
          <w:sz w:val="21"/>
        </w:rPr>
      </w:pPr>
    </w:p>
    <w:p w:rsidR="002210DD" w:rsidRDefault="002210DD">
      <w:pPr>
        <w:widowControl/>
        <w:spacing w:line="240" w:lineRule="auto"/>
        <w:ind w:firstLineChars="0" w:firstLine="0"/>
        <w:jc w:val="center"/>
        <w:rPr>
          <w:sz w:val="21"/>
        </w:rPr>
      </w:pPr>
    </w:p>
    <w:p w:rsidR="002210DD" w:rsidRDefault="002210DD">
      <w:pPr>
        <w:widowControl/>
        <w:spacing w:line="240" w:lineRule="auto"/>
        <w:ind w:firstLineChars="0" w:firstLine="0"/>
        <w:jc w:val="center"/>
        <w:rPr>
          <w:sz w:val="21"/>
        </w:rPr>
      </w:pPr>
      <w:bookmarkStart w:id="0" w:name="_GoBack"/>
      <w:bookmarkEnd w:id="0"/>
    </w:p>
    <w:p w:rsidR="002210DD" w:rsidRDefault="002210DD">
      <w:pPr>
        <w:widowControl/>
        <w:spacing w:line="240" w:lineRule="auto"/>
        <w:ind w:firstLineChars="0" w:firstLine="0"/>
        <w:jc w:val="center"/>
        <w:rPr>
          <w:sz w:val="21"/>
        </w:rPr>
      </w:pPr>
    </w:p>
    <w:p w:rsidR="002210DD" w:rsidRDefault="002210DD">
      <w:pPr>
        <w:widowControl/>
        <w:spacing w:line="240" w:lineRule="auto"/>
        <w:ind w:firstLineChars="0" w:firstLine="0"/>
        <w:jc w:val="center"/>
        <w:rPr>
          <w:sz w:val="21"/>
        </w:rPr>
      </w:pPr>
    </w:p>
    <w:p w:rsidR="002210DD" w:rsidRDefault="002210DD">
      <w:pPr>
        <w:widowControl/>
        <w:spacing w:line="240" w:lineRule="auto"/>
        <w:ind w:firstLineChars="0" w:firstLine="0"/>
        <w:jc w:val="center"/>
        <w:rPr>
          <w:sz w:val="21"/>
        </w:rPr>
      </w:pPr>
    </w:p>
    <w:p w:rsidR="002210DD" w:rsidRDefault="002210DD">
      <w:pPr>
        <w:widowControl/>
        <w:spacing w:line="240" w:lineRule="auto"/>
        <w:ind w:firstLineChars="0" w:firstLine="0"/>
        <w:jc w:val="center"/>
        <w:rPr>
          <w:sz w:val="21"/>
        </w:rPr>
      </w:pPr>
    </w:p>
    <w:p w:rsidR="002210DD" w:rsidRDefault="002210DD">
      <w:pPr>
        <w:widowControl/>
        <w:spacing w:line="240" w:lineRule="auto"/>
        <w:ind w:firstLineChars="0" w:firstLine="0"/>
        <w:jc w:val="center"/>
        <w:rPr>
          <w:sz w:val="21"/>
        </w:rPr>
      </w:pPr>
    </w:p>
    <w:p w:rsidR="002210DD" w:rsidRDefault="002210DD">
      <w:pPr>
        <w:widowControl/>
        <w:spacing w:line="240" w:lineRule="auto"/>
        <w:ind w:firstLineChars="0" w:firstLine="0"/>
        <w:jc w:val="center"/>
        <w:rPr>
          <w:sz w:val="21"/>
        </w:rPr>
      </w:pPr>
    </w:p>
    <w:p w:rsidR="002210DD" w:rsidRDefault="002210DD">
      <w:pPr>
        <w:widowControl/>
        <w:spacing w:line="240" w:lineRule="auto"/>
        <w:ind w:firstLineChars="0" w:firstLine="0"/>
        <w:jc w:val="center"/>
        <w:rPr>
          <w:sz w:val="21"/>
        </w:rPr>
      </w:pPr>
    </w:p>
    <w:p w:rsidR="002210DD" w:rsidRDefault="002210DD">
      <w:pPr>
        <w:widowControl/>
        <w:spacing w:line="240" w:lineRule="auto"/>
        <w:ind w:firstLineChars="0" w:firstLine="0"/>
        <w:jc w:val="center"/>
        <w:rPr>
          <w:sz w:val="21"/>
        </w:rPr>
      </w:pPr>
    </w:p>
    <w:p w:rsidR="002210DD" w:rsidRDefault="002210DD">
      <w:pPr>
        <w:widowControl/>
        <w:spacing w:line="240" w:lineRule="auto"/>
        <w:ind w:firstLineChars="0" w:firstLine="0"/>
        <w:jc w:val="center"/>
        <w:rPr>
          <w:sz w:val="21"/>
        </w:rPr>
      </w:pPr>
    </w:p>
    <w:p w:rsidR="002210DD" w:rsidRDefault="002210DD">
      <w:pPr>
        <w:widowControl/>
        <w:spacing w:line="240" w:lineRule="auto"/>
        <w:ind w:firstLineChars="0" w:firstLine="0"/>
        <w:jc w:val="center"/>
        <w:rPr>
          <w:sz w:val="21"/>
        </w:rPr>
      </w:pPr>
    </w:p>
    <w:p w:rsidR="002210DD" w:rsidRDefault="002210DD">
      <w:pPr>
        <w:widowControl/>
        <w:spacing w:line="240" w:lineRule="auto"/>
        <w:ind w:firstLineChars="0" w:firstLine="0"/>
        <w:rPr>
          <w:sz w:val="21"/>
        </w:rPr>
      </w:pPr>
    </w:p>
    <w:p w:rsidR="002210DD" w:rsidRDefault="002210DD">
      <w:pPr>
        <w:widowControl/>
        <w:spacing w:line="240" w:lineRule="auto"/>
        <w:ind w:firstLineChars="0" w:firstLine="0"/>
        <w:rPr>
          <w:sz w:val="21"/>
        </w:rPr>
      </w:pPr>
    </w:p>
    <w:p w:rsidR="002210DD" w:rsidRDefault="002210DD">
      <w:pPr>
        <w:widowControl/>
        <w:spacing w:line="240" w:lineRule="auto"/>
        <w:ind w:firstLineChars="0" w:firstLine="0"/>
        <w:rPr>
          <w:sz w:val="21"/>
        </w:rPr>
      </w:pPr>
    </w:p>
    <w:p w:rsidR="002210DD" w:rsidRDefault="00A205B8">
      <w:pPr>
        <w:widowControl/>
        <w:spacing w:line="240" w:lineRule="auto"/>
        <w:ind w:firstLineChars="0" w:firstLine="0"/>
        <w:jc w:val="center"/>
        <w:rPr>
          <w:rFonts w:eastAsia="黑体"/>
          <w:b/>
          <w:sz w:val="32"/>
          <w:szCs w:val="32"/>
        </w:rPr>
      </w:pPr>
      <w:r>
        <w:rPr>
          <w:rFonts w:eastAsia="黑体"/>
          <w:b/>
          <w:sz w:val="32"/>
          <w:szCs w:val="32"/>
        </w:rPr>
        <w:t>编制组</w:t>
      </w:r>
    </w:p>
    <w:p w:rsidR="002210DD" w:rsidRDefault="00A205B8">
      <w:pPr>
        <w:ind w:firstLineChars="0" w:firstLine="0"/>
        <w:jc w:val="center"/>
        <w:rPr>
          <w:rFonts w:eastAsia="黑体"/>
          <w:b/>
          <w:sz w:val="32"/>
          <w:szCs w:val="32"/>
        </w:rPr>
      </w:pPr>
      <w:r>
        <w:rPr>
          <w:rFonts w:eastAsia="黑体"/>
          <w:b/>
          <w:sz w:val="32"/>
          <w:szCs w:val="32"/>
        </w:rPr>
        <w:t>二〇二</w:t>
      </w:r>
      <w:r>
        <w:rPr>
          <w:rFonts w:eastAsia="黑体" w:hint="eastAsia"/>
          <w:b/>
          <w:sz w:val="32"/>
          <w:szCs w:val="32"/>
        </w:rPr>
        <w:t>二</w:t>
      </w:r>
      <w:r>
        <w:rPr>
          <w:rFonts w:eastAsia="黑体"/>
          <w:b/>
          <w:sz w:val="32"/>
          <w:szCs w:val="32"/>
        </w:rPr>
        <w:t>年</w:t>
      </w:r>
    </w:p>
    <w:p w:rsidR="002210DD" w:rsidRDefault="00A205B8">
      <w:pPr>
        <w:ind w:firstLine="643"/>
        <w:rPr>
          <w:rFonts w:eastAsia="黑体"/>
          <w:b/>
          <w:sz w:val="32"/>
          <w:szCs w:val="32"/>
        </w:rPr>
      </w:pPr>
      <w:r>
        <w:rPr>
          <w:rFonts w:eastAsia="黑体"/>
          <w:b/>
          <w:sz w:val="32"/>
          <w:szCs w:val="32"/>
        </w:rPr>
        <w:lastRenderedPageBreak/>
        <w:br w:type="page"/>
      </w:r>
    </w:p>
    <w:p w:rsidR="002210DD" w:rsidRDefault="00A205B8">
      <w:pPr>
        <w:widowControl/>
        <w:spacing w:line="240" w:lineRule="auto"/>
        <w:ind w:firstLineChars="0" w:firstLine="0"/>
        <w:jc w:val="center"/>
        <w:rPr>
          <w:rFonts w:eastAsia="黑体"/>
          <w:b/>
          <w:sz w:val="32"/>
          <w:szCs w:val="32"/>
        </w:rPr>
      </w:pPr>
      <w:r>
        <w:rPr>
          <w:rFonts w:eastAsia="黑体"/>
          <w:b/>
          <w:sz w:val="32"/>
          <w:szCs w:val="32"/>
        </w:rPr>
        <w:lastRenderedPageBreak/>
        <w:t>《环境空气气态污染物（</w:t>
      </w:r>
      <w:r>
        <w:rPr>
          <w:rFonts w:eastAsia="黑体"/>
          <w:b/>
          <w:sz w:val="32"/>
          <w:szCs w:val="32"/>
        </w:rPr>
        <w:t>SO</w:t>
      </w:r>
      <w:r>
        <w:rPr>
          <w:rFonts w:eastAsia="黑体"/>
          <w:b/>
          <w:sz w:val="32"/>
          <w:szCs w:val="32"/>
          <w:vertAlign w:val="subscript"/>
        </w:rPr>
        <w:t>2</w:t>
      </w:r>
      <w:r>
        <w:rPr>
          <w:rFonts w:eastAsia="黑体"/>
          <w:b/>
          <w:sz w:val="32"/>
          <w:szCs w:val="32"/>
        </w:rPr>
        <w:t>、</w:t>
      </w:r>
      <w:r>
        <w:rPr>
          <w:rFonts w:eastAsia="黑体"/>
          <w:b/>
          <w:sz w:val="32"/>
          <w:szCs w:val="32"/>
        </w:rPr>
        <w:t>NO</w:t>
      </w:r>
      <w:r>
        <w:rPr>
          <w:rFonts w:eastAsia="黑体"/>
          <w:b/>
          <w:sz w:val="32"/>
          <w:szCs w:val="32"/>
          <w:vertAlign w:val="subscript"/>
        </w:rPr>
        <w:t>2</w:t>
      </w:r>
      <w:r>
        <w:rPr>
          <w:rFonts w:eastAsia="黑体"/>
          <w:b/>
          <w:sz w:val="32"/>
          <w:szCs w:val="32"/>
        </w:rPr>
        <w:t>、</w:t>
      </w:r>
      <w:r>
        <w:rPr>
          <w:rFonts w:eastAsia="黑体"/>
          <w:b/>
          <w:sz w:val="32"/>
          <w:szCs w:val="32"/>
        </w:rPr>
        <w:t>NO</w:t>
      </w:r>
      <w:r>
        <w:rPr>
          <w:rFonts w:eastAsia="黑体"/>
          <w:b/>
          <w:sz w:val="32"/>
          <w:szCs w:val="32"/>
        </w:rPr>
        <w:t>、</w:t>
      </w:r>
      <w:r>
        <w:rPr>
          <w:rFonts w:eastAsia="黑体"/>
          <w:b/>
          <w:sz w:val="32"/>
          <w:szCs w:val="32"/>
        </w:rPr>
        <w:t>O</w:t>
      </w:r>
      <w:r>
        <w:rPr>
          <w:rFonts w:eastAsia="黑体"/>
          <w:b/>
          <w:sz w:val="32"/>
          <w:szCs w:val="32"/>
          <w:vertAlign w:val="subscript"/>
        </w:rPr>
        <w:t>3</w:t>
      </w:r>
      <w:r>
        <w:rPr>
          <w:rFonts w:eastAsia="黑体"/>
          <w:b/>
          <w:sz w:val="32"/>
          <w:szCs w:val="32"/>
        </w:rPr>
        <w:t>、</w:t>
      </w:r>
      <w:r>
        <w:rPr>
          <w:rFonts w:eastAsia="黑体"/>
          <w:b/>
          <w:sz w:val="32"/>
          <w:szCs w:val="32"/>
        </w:rPr>
        <w:t>CO</w:t>
      </w:r>
      <w:r>
        <w:rPr>
          <w:rFonts w:eastAsia="黑体"/>
          <w:b/>
          <w:sz w:val="32"/>
          <w:szCs w:val="32"/>
        </w:rPr>
        <w:t>）传感器法自动监测系统技术要求及检测方法》编制说明</w:t>
      </w:r>
    </w:p>
    <w:p w:rsidR="002210DD" w:rsidRDefault="002210DD">
      <w:pPr>
        <w:ind w:firstLine="440"/>
        <w:jc w:val="center"/>
        <w:rPr>
          <w:rFonts w:eastAsia="黑体"/>
          <w:bCs/>
          <w:sz w:val="22"/>
        </w:rPr>
      </w:pPr>
    </w:p>
    <w:p w:rsidR="002210DD" w:rsidRDefault="00A205B8">
      <w:pPr>
        <w:pStyle w:val="1"/>
      </w:pPr>
      <w:r>
        <w:t>任务来源和工作过程</w:t>
      </w:r>
    </w:p>
    <w:p w:rsidR="002210DD" w:rsidRDefault="00A205B8">
      <w:pPr>
        <w:pStyle w:val="2"/>
        <w:rPr>
          <w:rFonts w:ascii="Times New Roman" w:hAnsi="Times New Roman"/>
        </w:rPr>
      </w:pPr>
      <w:r>
        <w:rPr>
          <w:rFonts w:ascii="Times New Roman" w:hAnsi="Times New Roman"/>
        </w:rPr>
        <w:t>任务来源</w:t>
      </w:r>
    </w:p>
    <w:p w:rsidR="002210DD" w:rsidRDefault="00A205B8">
      <w:pPr>
        <w:ind w:firstLine="480"/>
      </w:pPr>
      <w:r>
        <w:t>为贯彻落实《中华人民共和国环境保护法》、《中华人民共和国大气污染防治法》，防治环境空气污染，改善大气质量，规范城市利用传感器法监测设备开展空气气态污染物（</w:t>
      </w:r>
      <w:r>
        <w:t>SO</w:t>
      </w:r>
      <w:r>
        <w:rPr>
          <w:vertAlign w:val="subscript"/>
        </w:rPr>
        <w:t>2</w:t>
      </w:r>
      <w:r>
        <w:t>、</w:t>
      </w:r>
      <w:r>
        <w:t>NO</w:t>
      </w:r>
      <w:r>
        <w:rPr>
          <w:vertAlign w:val="subscript"/>
        </w:rPr>
        <w:t>2</w:t>
      </w:r>
      <w:r>
        <w:t>、</w:t>
      </w:r>
      <w:r>
        <w:t>NO</w:t>
      </w:r>
      <w:r>
        <w:t>、</w:t>
      </w:r>
      <w:r>
        <w:t>O</w:t>
      </w:r>
      <w:r>
        <w:rPr>
          <w:vertAlign w:val="subscript"/>
        </w:rPr>
        <w:t>3</w:t>
      </w:r>
      <w:r>
        <w:t>、</w:t>
      </w:r>
      <w:r>
        <w:t>CO</w:t>
      </w:r>
      <w:r>
        <w:t>）自动监测工作，促进市场传感器自动监测技术的提升和推广应用，特制定本规范。</w:t>
      </w:r>
    </w:p>
    <w:p w:rsidR="002210DD" w:rsidRDefault="00A205B8">
      <w:pPr>
        <w:ind w:firstLine="480"/>
      </w:pPr>
      <w:r>
        <w:t>根据中共中央、国务院《长江三角洲区域一体化发展规划纲要》中</w:t>
      </w:r>
      <w:r>
        <w:t>“</w:t>
      </w:r>
      <w:r>
        <w:t>加强排放标准、产品标准、环保规范和执法规范对接，联合发布统一的区域环境治理政策法规及标准规范，积极开展联动执法，创新跨区域联合监管模式</w:t>
      </w:r>
      <w:r>
        <w:t>”</w:t>
      </w:r>
      <w:r>
        <w:t>的规划要求，为</w:t>
      </w:r>
      <w:proofErr w:type="gramStart"/>
      <w:r>
        <w:t>实现长三角区域标准</w:t>
      </w:r>
      <w:proofErr w:type="gramEnd"/>
      <w:r>
        <w:t>统一，本规范由上海、江苏、浙江、安徽生态环境局（厅）联合四地市场监督管理局下达任务，为长三角区</w:t>
      </w:r>
      <w:proofErr w:type="gramStart"/>
      <w:r>
        <w:t>域统一</w:t>
      </w:r>
      <w:proofErr w:type="gramEnd"/>
      <w:r>
        <w:t>标准。</w:t>
      </w:r>
    </w:p>
    <w:p w:rsidR="002210DD" w:rsidRDefault="00A205B8">
      <w:pPr>
        <w:ind w:firstLine="480"/>
        <w:rPr>
          <w:sz w:val="21"/>
          <w:szCs w:val="21"/>
        </w:rPr>
      </w:pPr>
      <w:r>
        <w:t>标准编制任务由上海市环境监测中心牵头，合作单位为江苏省环境监测中心、浙江省生态环境监测中心、安徽省生态环境监测中心、上海交通大学。</w:t>
      </w:r>
    </w:p>
    <w:p w:rsidR="002210DD" w:rsidRDefault="00A205B8">
      <w:pPr>
        <w:keepLines/>
        <w:numPr>
          <w:ilvl w:val="1"/>
          <w:numId w:val="2"/>
        </w:numPr>
        <w:spacing w:beforeLines="50" w:before="156"/>
        <w:ind w:firstLine="600"/>
        <w:outlineLvl w:val="1"/>
        <w:rPr>
          <w:rFonts w:eastAsia="黑体"/>
          <w:bCs/>
          <w:sz w:val="30"/>
          <w:szCs w:val="30"/>
        </w:rPr>
      </w:pPr>
      <w:r>
        <w:rPr>
          <w:rFonts w:eastAsia="黑体"/>
          <w:bCs/>
          <w:sz w:val="30"/>
          <w:szCs w:val="30"/>
        </w:rPr>
        <w:t>工作过程</w:t>
      </w:r>
    </w:p>
    <w:p w:rsidR="002210DD" w:rsidRDefault="00A205B8">
      <w:pPr>
        <w:pStyle w:val="10"/>
        <w:ind w:firstLine="482"/>
      </w:pPr>
      <w:r>
        <w:t>（</w:t>
      </w:r>
      <w:r>
        <w:t>1</w:t>
      </w:r>
      <w:r>
        <w:t>）前期准备</w:t>
      </w:r>
    </w:p>
    <w:p w:rsidR="002210DD" w:rsidRDefault="00A205B8">
      <w:pPr>
        <w:ind w:firstLine="480"/>
      </w:pPr>
      <w:r>
        <w:t>①</w:t>
      </w:r>
      <w:r>
        <w:t>查询相关资料，开展仪器比对</w:t>
      </w:r>
    </w:p>
    <w:p w:rsidR="002210DD" w:rsidRDefault="00A205B8">
      <w:pPr>
        <w:ind w:firstLine="480"/>
      </w:pPr>
      <w:r>
        <w:t>2020</w:t>
      </w:r>
      <w:r>
        <w:t>年</w:t>
      </w:r>
      <w:r>
        <w:rPr>
          <w:rFonts w:hint="eastAsia"/>
        </w:rPr>
        <w:t>7</w:t>
      </w:r>
      <w:r>
        <w:t>月</w:t>
      </w:r>
      <w:r>
        <w:rPr>
          <w:rFonts w:hint="eastAsia"/>
        </w:rPr>
        <w:t>前</w:t>
      </w:r>
      <w:r>
        <w:t>，收集并分析了国内外最新的相关标准文献资料，研究现有的传感器法监测设备的技术现状，调研气态污染物监测和管理需求，提出对传感器法监测设备功能和性能指标的要求。同时，确定</w:t>
      </w:r>
      <w:r>
        <w:rPr>
          <w:rFonts w:hint="eastAsia"/>
        </w:rPr>
        <w:t>仪器比对工作方案</w:t>
      </w:r>
      <w:r>
        <w:t>并组织多个传感器设备厂家集中开展了测试实验，分别对传感器设备的实验室性能指标以及室外平行性、相关性等应用性指标进行了测试，获得了大量的数据资料。</w:t>
      </w:r>
    </w:p>
    <w:p w:rsidR="002210DD" w:rsidRDefault="00A205B8">
      <w:pPr>
        <w:ind w:firstLine="480"/>
      </w:pPr>
      <w:r>
        <w:t>②</w:t>
      </w:r>
      <w:r>
        <w:t>成立规范编制小组</w:t>
      </w:r>
    </w:p>
    <w:p w:rsidR="002210DD" w:rsidRDefault="00A205B8">
      <w:pPr>
        <w:ind w:firstLine="480"/>
      </w:pPr>
      <w:r>
        <w:rPr>
          <w:rFonts w:hint="eastAsia"/>
        </w:rPr>
        <w:t>2020</w:t>
      </w:r>
      <w:r>
        <w:rPr>
          <w:rFonts w:hint="eastAsia"/>
        </w:rPr>
        <w:t>年</w:t>
      </w:r>
      <w:r>
        <w:rPr>
          <w:rFonts w:hint="eastAsia"/>
        </w:rPr>
        <w:t>7</w:t>
      </w:r>
      <w:r>
        <w:rPr>
          <w:rFonts w:hint="eastAsia"/>
        </w:rPr>
        <w:t>月，</w:t>
      </w:r>
      <w:r>
        <w:t>上海市环境监测中心会同江苏省环境监测中心、浙江省生态</w:t>
      </w:r>
      <w:r>
        <w:lastRenderedPageBreak/>
        <w:t>环境监测中心、安徽省生态环境监测中心、上海交通大学，成立了规范编制工作组。</w:t>
      </w:r>
    </w:p>
    <w:p w:rsidR="002210DD" w:rsidRDefault="00A205B8">
      <w:pPr>
        <w:ind w:firstLine="480"/>
      </w:pPr>
      <w:r>
        <w:t>③</w:t>
      </w:r>
      <w:r>
        <w:rPr>
          <w:rFonts w:hint="eastAsia"/>
        </w:rPr>
        <w:t>厂家验证实验</w:t>
      </w:r>
    </w:p>
    <w:p w:rsidR="002210DD" w:rsidRDefault="00A205B8">
      <w:pPr>
        <w:ind w:firstLine="480"/>
      </w:pPr>
      <w:r>
        <w:rPr>
          <w:rFonts w:hint="eastAsia"/>
        </w:rPr>
        <w:t>2020</w:t>
      </w:r>
      <w:r>
        <w:rPr>
          <w:rFonts w:hint="eastAsia"/>
        </w:rPr>
        <w:t>年</w:t>
      </w:r>
      <w:r>
        <w:rPr>
          <w:rFonts w:hint="eastAsia"/>
        </w:rPr>
        <w:t>10~12</w:t>
      </w:r>
      <w:r>
        <w:rPr>
          <w:rFonts w:hint="eastAsia"/>
        </w:rPr>
        <w:t>月，</w:t>
      </w:r>
      <w:r>
        <w:t>制定规范验证实验方案；组织设备厂家开展验证实验；依据实验结果对规范补充修改；组织厂家对规范适用性讨论</w:t>
      </w:r>
      <w:r>
        <w:rPr>
          <w:rFonts w:hint="eastAsia"/>
        </w:rPr>
        <w:t>。</w:t>
      </w:r>
    </w:p>
    <w:p w:rsidR="002210DD" w:rsidRDefault="00A205B8">
      <w:pPr>
        <w:pStyle w:val="10"/>
        <w:ind w:firstLine="482"/>
      </w:pPr>
      <w:r>
        <w:t>（</w:t>
      </w:r>
      <w:r>
        <w:t>2</w:t>
      </w:r>
      <w:r>
        <w:t>）规范征求意见稿和编制说明编写</w:t>
      </w:r>
    </w:p>
    <w:p w:rsidR="002210DD" w:rsidRDefault="00A205B8">
      <w:pPr>
        <w:ind w:firstLine="480"/>
      </w:pPr>
      <w:r>
        <w:t>202</w:t>
      </w:r>
      <w:r>
        <w:rPr>
          <w:rFonts w:hint="eastAsia"/>
        </w:rPr>
        <w:t>0</w:t>
      </w:r>
      <w:r>
        <w:t>年</w:t>
      </w:r>
      <w:r>
        <w:rPr>
          <w:rFonts w:hint="eastAsia"/>
        </w:rPr>
        <w:t>7</w:t>
      </w:r>
      <w:r>
        <w:t>月</w:t>
      </w:r>
      <w:r>
        <w:t>-1</w:t>
      </w:r>
      <w:r>
        <w:rPr>
          <w:rFonts w:hint="eastAsia"/>
        </w:rPr>
        <w:t>2</w:t>
      </w:r>
      <w:r>
        <w:t>月，技术方案论证，编写规范草案；对草案框架和内容内部研讨</w:t>
      </w:r>
      <w:r>
        <w:rPr>
          <w:rFonts w:hint="eastAsia"/>
        </w:rPr>
        <w:t>，</w:t>
      </w:r>
      <w:r>
        <w:t>完善《规范》文本及编制说明。</w:t>
      </w:r>
    </w:p>
    <w:p w:rsidR="002210DD" w:rsidRDefault="00A205B8">
      <w:pPr>
        <w:ind w:firstLine="480"/>
      </w:pPr>
      <w:r>
        <w:rPr>
          <w:rFonts w:hint="eastAsia"/>
        </w:rPr>
        <w:t>2021</w:t>
      </w:r>
      <w:r>
        <w:rPr>
          <w:rFonts w:hint="eastAsia"/>
        </w:rPr>
        <w:t>年</w:t>
      </w:r>
      <w:r>
        <w:rPr>
          <w:rFonts w:hint="eastAsia"/>
        </w:rPr>
        <w:t>1</w:t>
      </w:r>
      <w:r>
        <w:rPr>
          <w:rFonts w:hint="eastAsia"/>
        </w:rPr>
        <w:t>月，长三角区</w:t>
      </w:r>
      <w:proofErr w:type="gramStart"/>
      <w:r>
        <w:rPr>
          <w:rFonts w:hint="eastAsia"/>
        </w:rPr>
        <w:t>域环境</w:t>
      </w:r>
      <w:proofErr w:type="gramEnd"/>
      <w:r>
        <w:rPr>
          <w:rFonts w:hint="eastAsia"/>
        </w:rPr>
        <w:t>监测中心等管理部门内部征求意见；</w:t>
      </w:r>
      <w:proofErr w:type="gramStart"/>
      <w:r>
        <w:rPr>
          <w:rFonts w:hint="eastAsia"/>
        </w:rPr>
        <w:t>组织长三角区域环境</w:t>
      </w:r>
      <w:proofErr w:type="gramEnd"/>
      <w:r>
        <w:rPr>
          <w:rFonts w:hint="eastAsia"/>
        </w:rPr>
        <w:t>监测中心等管理部门召开讨论会议；完善规范文本。</w:t>
      </w:r>
    </w:p>
    <w:p w:rsidR="002210DD" w:rsidRDefault="00A205B8">
      <w:pPr>
        <w:pStyle w:val="10"/>
        <w:ind w:firstLine="482"/>
      </w:pPr>
      <w:r>
        <w:t>（</w:t>
      </w:r>
      <w:r>
        <w:t>3</w:t>
      </w:r>
      <w:r>
        <w:t>）规范立项</w:t>
      </w:r>
    </w:p>
    <w:p w:rsidR="002210DD" w:rsidRDefault="00A205B8">
      <w:pPr>
        <w:ind w:firstLine="480"/>
      </w:pPr>
      <w:r>
        <w:t>2021</w:t>
      </w:r>
      <w:r>
        <w:t>年</w:t>
      </w:r>
      <w:r>
        <w:t>6</w:t>
      </w:r>
      <w:r>
        <w:t>月，上海市环境监测中心会同江苏省环境监测中心、浙江省生态环境监测中心、安徽省生态环境监测中心、上海交通大学，提出联合立项申请。</w:t>
      </w:r>
    </w:p>
    <w:p w:rsidR="002210DD" w:rsidRDefault="00A205B8">
      <w:pPr>
        <w:ind w:firstLine="480"/>
      </w:pPr>
      <w:r>
        <w:t>2021</w:t>
      </w:r>
      <w:r>
        <w:t>年</w:t>
      </w:r>
      <w:r>
        <w:t>11</w:t>
      </w:r>
      <w:r>
        <w:t>月</w:t>
      </w:r>
      <w:r>
        <w:t>19</w:t>
      </w:r>
      <w:r>
        <w:t>日，上海市市场监督管理局组织召开长三角区</w:t>
      </w:r>
      <w:proofErr w:type="gramStart"/>
      <w:r>
        <w:t>域统一</w:t>
      </w:r>
      <w:proofErr w:type="gramEnd"/>
      <w:r>
        <w:t>地方标准（节能环保领域）立项论证会</w:t>
      </w:r>
      <w:r>
        <w:rPr>
          <w:rFonts w:hint="eastAsia"/>
        </w:rPr>
        <w:t>,</w:t>
      </w:r>
      <w:r>
        <w:rPr>
          <w:rFonts w:hint="eastAsia"/>
        </w:rPr>
        <w:t>。</w:t>
      </w:r>
    </w:p>
    <w:p w:rsidR="002210DD" w:rsidRDefault="00A205B8">
      <w:pPr>
        <w:ind w:firstLine="480"/>
      </w:pPr>
      <w:r>
        <w:t>2021</w:t>
      </w:r>
      <w:r>
        <w:t>年</w:t>
      </w:r>
      <w:r>
        <w:t>12</w:t>
      </w:r>
      <w:r>
        <w:t>月</w:t>
      </w:r>
      <w:r>
        <w:t>30</w:t>
      </w:r>
      <w:r>
        <w:t>日，《规范》获批立项。</w:t>
      </w:r>
    </w:p>
    <w:p w:rsidR="002210DD" w:rsidRDefault="00A205B8">
      <w:pPr>
        <w:pStyle w:val="10"/>
        <w:ind w:firstLine="482"/>
      </w:pPr>
      <w:r>
        <w:t>（</w:t>
      </w:r>
      <w:r>
        <w:t>4</w:t>
      </w:r>
      <w:r>
        <w:t>）</w:t>
      </w:r>
      <w:r>
        <w:rPr>
          <w:rFonts w:hint="eastAsia"/>
        </w:rPr>
        <w:t>公开</w:t>
      </w:r>
      <w:r>
        <w:t>征求意见</w:t>
      </w:r>
    </w:p>
    <w:p w:rsidR="002210DD" w:rsidRDefault="00A205B8">
      <w:pPr>
        <w:ind w:firstLine="480"/>
      </w:pPr>
      <w:r>
        <w:t>2022</w:t>
      </w:r>
      <w:r>
        <w:t>年</w:t>
      </w:r>
      <w:r>
        <w:t>2</w:t>
      </w:r>
      <w:r>
        <w:t>月</w:t>
      </w:r>
      <w:r>
        <w:t>16</w:t>
      </w:r>
      <w:r>
        <w:t>日，编制组提交《规范》征求意见稿。</w:t>
      </w:r>
    </w:p>
    <w:p w:rsidR="002210DD" w:rsidRDefault="00A205B8">
      <w:pPr>
        <w:ind w:firstLine="480"/>
      </w:pPr>
      <w:r>
        <w:t>上海市市场监督管理局对《规范》公开征求意见，其他省也同步开展征求意见工作。公开征求时间为</w:t>
      </w:r>
      <w:r>
        <w:t>2022</w:t>
      </w:r>
      <w:r>
        <w:t>年</w:t>
      </w:r>
      <w:r>
        <w:rPr>
          <w:rFonts w:hint="eastAsia"/>
        </w:rPr>
        <w:t>3</w:t>
      </w:r>
      <w:r>
        <w:t>月</w:t>
      </w:r>
      <w:r>
        <w:rPr>
          <w:rFonts w:hint="eastAsia"/>
        </w:rPr>
        <w:t>2</w:t>
      </w:r>
      <w:r>
        <w:t>日至</w:t>
      </w:r>
      <w:r>
        <w:t>2022</w:t>
      </w:r>
      <w:r>
        <w:t>年</w:t>
      </w:r>
      <w:r>
        <w:rPr>
          <w:rFonts w:hint="eastAsia"/>
        </w:rPr>
        <w:t>3</w:t>
      </w:r>
      <w:r>
        <w:t>月</w:t>
      </w:r>
      <w:r>
        <w:rPr>
          <w:rFonts w:hint="eastAsia"/>
        </w:rPr>
        <w:t>31</w:t>
      </w:r>
      <w:r>
        <w:t>日。</w:t>
      </w:r>
    </w:p>
    <w:p w:rsidR="002210DD" w:rsidRDefault="00A205B8">
      <w:pPr>
        <w:pStyle w:val="10"/>
        <w:ind w:firstLine="482"/>
      </w:pPr>
      <w:r>
        <w:t>（</w:t>
      </w:r>
      <w:r>
        <w:t>5</w:t>
      </w:r>
      <w:r>
        <w:t>）修改送审</w:t>
      </w:r>
    </w:p>
    <w:p w:rsidR="002210DD" w:rsidRDefault="00A205B8">
      <w:pPr>
        <w:ind w:firstLine="480"/>
      </w:pPr>
      <w:r>
        <w:t>公开征求意见期间，根据反馈意见对《规范》文本及编制说明进行进一步修改，并答复反馈意见。</w:t>
      </w:r>
      <w:r>
        <w:t>2022</w:t>
      </w:r>
      <w:r>
        <w:t>年</w:t>
      </w:r>
      <w:r>
        <w:rPr>
          <w:rFonts w:hint="eastAsia"/>
        </w:rPr>
        <w:t>9</w:t>
      </w:r>
      <w:r>
        <w:t>月</w:t>
      </w:r>
      <w:r>
        <w:rPr>
          <w:rFonts w:hint="eastAsia"/>
        </w:rPr>
        <w:t>2</w:t>
      </w:r>
      <w:r>
        <w:t>日召开技术审定会。</w:t>
      </w:r>
    </w:p>
    <w:p w:rsidR="002210DD" w:rsidRDefault="00A205B8">
      <w:pPr>
        <w:pStyle w:val="1"/>
        <w:rPr>
          <w:szCs w:val="32"/>
        </w:rPr>
      </w:pPr>
      <w:r>
        <w:rPr>
          <w:szCs w:val="32"/>
        </w:rPr>
        <w:t>制定的必要性分析</w:t>
      </w:r>
    </w:p>
    <w:p w:rsidR="002210DD" w:rsidRDefault="00A205B8">
      <w:pPr>
        <w:pStyle w:val="2"/>
        <w:rPr>
          <w:rFonts w:ascii="Times New Roman" w:hAnsi="Times New Roman"/>
        </w:rPr>
      </w:pPr>
      <w:r>
        <w:rPr>
          <w:rFonts w:ascii="Times New Roman" w:hAnsi="Times New Roman"/>
        </w:rPr>
        <w:t>新形势下气态污染物管控的需求</w:t>
      </w:r>
    </w:p>
    <w:p w:rsidR="002210DD" w:rsidRDefault="00A205B8">
      <w:pPr>
        <w:ind w:firstLine="480"/>
      </w:pPr>
      <w:r>
        <w:t>我国高度重视大气污染防治工作，通过出台《大气污染防治行动计划》、实施</w:t>
      </w:r>
      <w:r>
        <w:t>“</w:t>
      </w:r>
      <w:r>
        <w:t>蓝天保卫战</w:t>
      </w:r>
      <w:r>
        <w:t>”</w:t>
      </w:r>
      <w:r>
        <w:t>三年行动计划</w:t>
      </w:r>
      <w:proofErr w:type="gramStart"/>
      <w:r>
        <w:t>”</w:t>
      </w:r>
      <w:proofErr w:type="gramEnd"/>
      <w:r>
        <w:t>等一系列重要举措，近年来，大气污染治理工作</w:t>
      </w:r>
      <w:r>
        <w:lastRenderedPageBreak/>
        <w:t>取得了显著成效，环境空气质量持续改善，大气污染特征也随之发生了变化。</w:t>
      </w:r>
    </w:p>
    <w:p w:rsidR="002210DD" w:rsidRDefault="00A205B8">
      <w:pPr>
        <w:ind w:firstLine="480"/>
      </w:pPr>
      <w:r>
        <w:t>从全国范围看，自</w:t>
      </w:r>
      <w:r>
        <w:t>“</w:t>
      </w:r>
      <w:r>
        <w:t>十三五</w:t>
      </w:r>
      <w:r>
        <w:t>”</w:t>
      </w:r>
      <w:r>
        <w:t>以来，</w:t>
      </w:r>
      <w:r>
        <w:t>2019</w:t>
      </w:r>
      <w:r>
        <w:t>年</w:t>
      </w:r>
      <w:r>
        <w:t>338</w:t>
      </w:r>
      <w:r>
        <w:t>个城市空气质量达标率较</w:t>
      </w:r>
      <w:r>
        <w:t>2015</w:t>
      </w:r>
      <w:r>
        <w:t>年增加</w:t>
      </w:r>
      <w:r>
        <w:t>115.1%</w:t>
      </w:r>
      <w:r>
        <w:t>。就各污染指标而言，</w:t>
      </w:r>
      <w:r>
        <w:t>PM</w:t>
      </w:r>
      <w:r>
        <w:rPr>
          <w:vertAlign w:val="subscript"/>
        </w:rPr>
        <w:t>2.5</w:t>
      </w:r>
      <w:r>
        <w:t>、</w:t>
      </w:r>
      <w:r>
        <w:t>PM</w:t>
      </w:r>
      <w:r>
        <w:rPr>
          <w:vertAlign w:val="subscript"/>
        </w:rPr>
        <w:t>10</w:t>
      </w:r>
      <w:r>
        <w:t>、</w:t>
      </w:r>
      <w:r>
        <w:t>SO</w:t>
      </w:r>
      <w:r>
        <w:rPr>
          <w:vertAlign w:val="subscript"/>
        </w:rPr>
        <w:t>2</w:t>
      </w:r>
      <w:r>
        <w:t>、</w:t>
      </w:r>
      <w:r>
        <w:t>CO</w:t>
      </w:r>
      <w:r>
        <w:t>的污染情况逐年好转，年均浓度较</w:t>
      </w:r>
      <w:r>
        <w:t>2015</w:t>
      </w:r>
      <w:r>
        <w:t>年有明显下降，</w:t>
      </w:r>
      <w:r>
        <w:t>PM</w:t>
      </w:r>
      <w:r>
        <w:rPr>
          <w:vertAlign w:val="subscript"/>
        </w:rPr>
        <w:t>2.5</w:t>
      </w:r>
      <w:r>
        <w:t>的下降率达</w:t>
      </w:r>
      <w:r>
        <w:t>28%</w:t>
      </w:r>
      <w:r>
        <w:t>；</w:t>
      </w:r>
      <w:r>
        <w:t>NO</w:t>
      </w:r>
      <w:r>
        <w:rPr>
          <w:vertAlign w:val="subscript"/>
        </w:rPr>
        <w:t>2</w:t>
      </w:r>
      <w:r>
        <w:t>的年均浓度相对稳定，无明显变化；与其他污染物不同，</w:t>
      </w:r>
      <w:r>
        <w:t>O</w:t>
      </w:r>
      <w:r>
        <w:rPr>
          <w:vertAlign w:val="subscript"/>
        </w:rPr>
        <w:t>3</w:t>
      </w:r>
      <w:r>
        <w:t>的年均浓度呈显著的上升变化趋势，年均浓度较</w:t>
      </w:r>
      <w:r>
        <w:t>2015</w:t>
      </w:r>
      <w:r>
        <w:t>年上升</w:t>
      </w:r>
      <w:r>
        <w:t>14</w:t>
      </w:r>
      <w:r>
        <w:t>微克</w:t>
      </w:r>
      <w:r>
        <w:t>/</w:t>
      </w:r>
      <w:r>
        <w:t>立方米。可见，当前我国大气颗粒物（</w:t>
      </w:r>
      <w:r>
        <w:t>PM</w:t>
      </w:r>
      <w:r>
        <w:rPr>
          <w:vertAlign w:val="subscript"/>
        </w:rPr>
        <w:t>2.5</w:t>
      </w:r>
      <w:r>
        <w:t>、</w:t>
      </w:r>
      <w:r>
        <w:t>PM</w:t>
      </w:r>
      <w:r>
        <w:rPr>
          <w:vertAlign w:val="subscript"/>
        </w:rPr>
        <w:t>10</w:t>
      </w:r>
      <w:r>
        <w:t>）污染形势得到有效控制，而大气气态污染物（</w:t>
      </w:r>
      <w:r>
        <w:t>O</w:t>
      </w:r>
      <w:r>
        <w:rPr>
          <w:vertAlign w:val="subscript"/>
        </w:rPr>
        <w:t>3</w:t>
      </w:r>
      <w:r>
        <w:t>和</w:t>
      </w:r>
      <w:r>
        <w:t>NO</w:t>
      </w:r>
      <w:r>
        <w:rPr>
          <w:vertAlign w:val="subscript"/>
        </w:rPr>
        <w:t>2</w:t>
      </w:r>
      <w:r>
        <w:t>）的污染问题逐渐突显。</w:t>
      </w:r>
    </w:p>
    <w:p w:rsidR="002210DD" w:rsidRDefault="00A205B8">
      <w:pPr>
        <w:ind w:firstLine="480"/>
      </w:pPr>
      <w:r>
        <w:t>从长三角区域看，</w:t>
      </w:r>
      <w:r>
        <w:t>2020</w:t>
      </w:r>
      <w:r>
        <w:t>年上半年，长三角地区环境空气质量指数六因子中，</w:t>
      </w:r>
      <w:r>
        <w:t>PM</w:t>
      </w:r>
      <w:r>
        <w:rPr>
          <w:vertAlign w:val="subscript"/>
        </w:rPr>
        <w:t>2.5</w:t>
      </w:r>
      <w:r>
        <w:t>、</w:t>
      </w:r>
      <w:r>
        <w:t>PM</w:t>
      </w:r>
      <w:r>
        <w:rPr>
          <w:vertAlign w:val="subscript"/>
        </w:rPr>
        <w:t>10</w:t>
      </w:r>
      <w:r>
        <w:t>、</w:t>
      </w:r>
      <w:r>
        <w:t>SO</w:t>
      </w:r>
      <w:r>
        <w:rPr>
          <w:vertAlign w:val="subscript"/>
        </w:rPr>
        <w:t>2</w:t>
      </w:r>
      <w:r>
        <w:t>、</w:t>
      </w:r>
      <w:r>
        <w:t>NO</w:t>
      </w:r>
      <w:r>
        <w:rPr>
          <w:vertAlign w:val="subscript"/>
        </w:rPr>
        <w:t>2</w:t>
      </w:r>
      <w:r>
        <w:t>、</w:t>
      </w:r>
      <w:r>
        <w:t>CO</w:t>
      </w:r>
      <w:r>
        <w:t>日均值已达到国家环境空气质量一级标准，</w:t>
      </w:r>
      <w:r>
        <w:t>O</w:t>
      </w:r>
      <w:r>
        <w:rPr>
          <w:vertAlign w:val="subscript"/>
        </w:rPr>
        <w:t>3</w:t>
      </w:r>
      <w:r>
        <w:t>浓度达到国家环境空气质量二级标准，空气优良天数同比上升</w:t>
      </w:r>
      <w:r>
        <w:t>19.1%</w:t>
      </w:r>
      <w:r>
        <w:t>，上述六项空气质量指标同比下降</w:t>
      </w:r>
      <w:r>
        <w:t>4.5%~25.9%</w:t>
      </w:r>
      <w:r>
        <w:t>。长三角区</w:t>
      </w:r>
      <w:proofErr w:type="gramStart"/>
      <w:r>
        <w:t>域环境</w:t>
      </w:r>
      <w:proofErr w:type="gramEnd"/>
      <w:r>
        <w:t>空气质量整体较好，但与国际先进水平相比，仍有很大的改善空间。首先，长三角地区的空气质量日均值尚未达到世界卫生组织指导值，年均值也未达到我国空气质量一级标准和世界卫生组织指导值；其次，臭氧浓度距我国空气质量一级标准和世界卫生组织指导</w:t>
      </w:r>
      <w:proofErr w:type="gramStart"/>
      <w:r>
        <w:t>值还有</w:t>
      </w:r>
      <w:proofErr w:type="gramEnd"/>
      <w:r>
        <w:t>差距，一氧化碳和臭氧浓度略高于粤港澳、珠三角地区；此外，夏季和秋冬季</w:t>
      </w:r>
      <w:r>
        <w:t>PM</w:t>
      </w:r>
      <w:r>
        <w:rPr>
          <w:vertAlign w:val="subscript"/>
        </w:rPr>
        <w:t>2.5</w:t>
      </w:r>
      <w:r>
        <w:t>以及臭氧浓度时有超标。</w:t>
      </w:r>
    </w:p>
    <w:p w:rsidR="002210DD" w:rsidRDefault="00A205B8">
      <w:pPr>
        <w:ind w:firstLine="480"/>
      </w:pPr>
      <w:r>
        <w:t>随着社会经济的不断发展和我国大气污染特征的逐年变化，对新阶段环境空气质量管理提出了新的要求，我国政府部门大气环境污染治理工作的重点从颗粒物开始向颗粒物与臭氧等气态污染物的协同管控上偏移。制定《环境空气气态污染物（</w:t>
      </w:r>
      <w:r>
        <w:t>SO</w:t>
      </w:r>
      <w:r>
        <w:rPr>
          <w:vertAlign w:val="subscript"/>
        </w:rPr>
        <w:t>2</w:t>
      </w:r>
      <w:r>
        <w:t>、</w:t>
      </w:r>
      <w:r>
        <w:t>NO</w:t>
      </w:r>
      <w:r>
        <w:rPr>
          <w:vertAlign w:val="subscript"/>
        </w:rPr>
        <w:t>2</w:t>
      </w:r>
      <w:r>
        <w:t>、</w:t>
      </w:r>
      <w:r>
        <w:t>NO</w:t>
      </w:r>
      <w:r>
        <w:t>、</w:t>
      </w:r>
      <w:r>
        <w:t>O</w:t>
      </w:r>
      <w:r>
        <w:rPr>
          <w:vertAlign w:val="subscript"/>
        </w:rPr>
        <w:t>3</w:t>
      </w:r>
      <w:r>
        <w:t>、</w:t>
      </w:r>
      <w:r>
        <w:t>CO</w:t>
      </w:r>
      <w:r>
        <w:t>）传感器法自动监测技术规范》，顺应了新形势下气态污染物重点管控工作的需求，有利于完善气态污染物监测监控标准体系，为大气污染防治工作提供数据依据和管控方向。</w:t>
      </w:r>
    </w:p>
    <w:p w:rsidR="002210DD" w:rsidRDefault="00A205B8">
      <w:pPr>
        <w:pStyle w:val="2"/>
        <w:rPr>
          <w:rFonts w:ascii="Times New Roman" w:hAnsi="Times New Roman"/>
        </w:rPr>
      </w:pPr>
      <w:r>
        <w:rPr>
          <w:rFonts w:ascii="Times New Roman" w:hAnsi="Times New Roman"/>
        </w:rPr>
        <w:t>网格化监测作为大气污染管</w:t>
      </w:r>
      <w:proofErr w:type="gramStart"/>
      <w:r>
        <w:rPr>
          <w:rFonts w:ascii="Times New Roman" w:hAnsi="Times New Roman"/>
        </w:rPr>
        <w:t>控重要</w:t>
      </w:r>
      <w:proofErr w:type="gramEnd"/>
      <w:r>
        <w:rPr>
          <w:rFonts w:ascii="Times New Roman" w:hAnsi="Times New Roman"/>
        </w:rPr>
        <w:t>手段</w:t>
      </w:r>
    </w:p>
    <w:p w:rsidR="002210DD" w:rsidRDefault="00A205B8">
      <w:pPr>
        <w:ind w:firstLine="480"/>
      </w:pPr>
      <w:r>
        <w:t>环境监测是环境管理的基础和技术支持，自</w:t>
      </w:r>
      <w:r>
        <w:t>2012</w:t>
      </w:r>
      <w:r>
        <w:t>年新《环境空气质量标准》颁布实施以来，我国城市空气质量监测网络日益完善，环境空气监测形成了国家级、省部级、市、区（县）</w:t>
      </w:r>
      <w:r>
        <w:t>4</w:t>
      </w:r>
      <w:r>
        <w:t>级监测体系，目前全国</w:t>
      </w:r>
      <w:r>
        <w:t>338</w:t>
      </w:r>
      <w:r>
        <w:t>个地级及以上城市已建成监测站点超过</w:t>
      </w:r>
      <w:r>
        <w:t>5000</w:t>
      </w:r>
      <w:r>
        <w:t>个，其中，</w:t>
      </w:r>
      <w:proofErr w:type="gramStart"/>
      <w:r>
        <w:t>包括国控站点</w:t>
      </w:r>
      <w:proofErr w:type="gramEnd"/>
      <w:r>
        <w:t>数量</w:t>
      </w:r>
      <w:r>
        <w:t>1436</w:t>
      </w:r>
      <w:r>
        <w:t>个，经</w:t>
      </w:r>
      <w:r>
        <w:t>“</w:t>
      </w:r>
      <w:r>
        <w:t>十四五</w:t>
      </w:r>
      <w:r>
        <w:t>”</w:t>
      </w:r>
      <w:r>
        <w:t>国家城</w:t>
      </w:r>
      <w:r>
        <w:lastRenderedPageBreak/>
        <w:t>市环境空气质量监测网点位优化调整工作完成后，</w:t>
      </w:r>
      <w:proofErr w:type="gramStart"/>
      <w:r>
        <w:t>国控站点</w:t>
      </w:r>
      <w:proofErr w:type="gramEnd"/>
      <w:r>
        <w:t>数量将增加至近</w:t>
      </w:r>
      <w:r>
        <w:t>1800</w:t>
      </w:r>
      <w:r>
        <w:t>个，解决了城市新增建成区缺少点位、现有建成区点位密度不均衡等问题，达到地级及以上城市和国家级</w:t>
      </w:r>
      <w:proofErr w:type="gramStart"/>
      <w:r>
        <w:t>新区全</w:t>
      </w:r>
      <w:proofErr w:type="gramEnd"/>
      <w:r>
        <w:t>覆盖。</w:t>
      </w:r>
    </w:p>
    <w:p w:rsidR="002210DD" w:rsidRDefault="00A205B8">
      <w:pPr>
        <w:ind w:firstLine="480"/>
      </w:pPr>
      <w:r>
        <w:t>尽管全国已经建立了覆盖典型区域的环境空气质量监测网络</w:t>
      </w:r>
      <w:r>
        <w:t xml:space="preserve">, </w:t>
      </w:r>
      <w:r>
        <w:t>并通过</w:t>
      </w:r>
      <w:r>
        <w:t>“</w:t>
      </w:r>
      <w:r>
        <w:t>全国空气质量发布平台</w:t>
      </w:r>
      <w:r>
        <w:t>”</w:t>
      </w:r>
      <w:r>
        <w:t>向社会实时发布包括</w:t>
      </w:r>
      <w:r>
        <w:t>O</w:t>
      </w:r>
      <w:r>
        <w:rPr>
          <w:vertAlign w:val="subscript"/>
        </w:rPr>
        <w:t>3</w:t>
      </w:r>
      <w:r>
        <w:t>在内的</w:t>
      </w:r>
      <w:r>
        <w:t>6</w:t>
      </w:r>
      <w:r>
        <w:t>项指标的实时浓度、</w:t>
      </w:r>
      <w:r>
        <w:t>AQI</w:t>
      </w:r>
      <w:r>
        <w:t>指数等空气质量信息，初步实现了区域尺度的空气污染联防联控。但大气一直处在不断的流动和变化状态中，空气质量状况受地形、建筑物、小环境温湿度、污染源、人口密度，风向，风速等多种因素影响，在大范围的城市区域中，现有的区域环境空气质量监测网络在城市大气污染溯源和局部监管方面仍存在不足，根据城市现有的空气监测站点所得出的空气质量数据在时间和空间分辨率上都达不到要求，因此，亟需开展大范围的空气污染物网格化监测，对城市气态污染物污染防治政策措施的制定与评估以及对人体健康风险评价等研究提供指导。</w:t>
      </w:r>
    </w:p>
    <w:p w:rsidR="002210DD" w:rsidRDefault="00A205B8">
      <w:pPr>
        <w:ind w:firstLine="480"/>
      </w:pPr>
      <w:r>
        <w:t>根据国务院发布的《生态环境监测网络建设方案》（国办发〔</w:t>
      </w:r>
      <w:r>
        <w:t>2015</w:t>
      </w:r>
      <w:r>
        <w:t>〕</w:t>
      </w:r>
      <w:r>
        <w:t>56</w:t>
      </w:r>
      <w:r>
        <w:t>号），要求进一步提高大气污染防治和监管执法精细化、科学化、信息化水平，实现对污染物的实时监控、精准排查，切实改善区域空气质量。</w:t>
      </w:r>
    </w:p>
    <w:p w:rsidR="002210DD" w:rsidRDefault="00A205B8">
      <w:pPr>
        <w:ind w:firstLine="480"/>
      </w:pPr>
      <w:r>
        <w:t>为了实时监测</w:t>
      </w:r>
      <w:r>
        <w:t>“</w:t>
      </w:r>
      <w:r>
        <w:t>散、乱、污</w:t>
      </w:r>
      <w:r>
        <w:t>”</w:t>
      </w:r>
      <w:r>
        <w:t>污染源、道路交通、建筑工地、区域边界、污染物传输通道、城市居民区、农村乡镇、重点工业企业等对象，高密度的环境空气质量传感器法网格化监测系统被提出。相比常规监测方法，传感器法监测设备能大面积布点，很好地弥补常规方法的不足，迅速在各地开展网络建设工作，大数据、</w:t>
      </w:r>
      <w:proofErr w:type="gramStart"/>
      <w:r>
        <w:t>云计算</w:t>
      </w:r>
      <w:proofErr w:type="gramEnd"/>
      <w:r>
        <w:t>等信息技术的发展应用成为大气环境网格化精细化管理的重要抓手。</w:t>
      </w:r>
    </w:p>
    <w:p w:rsidR="002210DD" w:rsidRDefault="00A205B8">
      <w:pPr>
        <w:ind w:firstLine="480"/>
      </w:pPr>
      <w:r>
        <w:t>网格化监测系统基于颗粒物传感器和气体传感器，实时监测主要环境空气污染物和温室气体，利用传感器低造价、</w:t>
      </w:r>
      <w:proofErr w:type="gramStart"/>
      <w:r>
        <w:t>低维护</w:t>
      </w:r>
      <w:proofErr w:type="gramEnd"/>
      <w:r>
        <w:t>成本、低功耗和小尺寸等特点，可通过固定和移动方式实施规模化部署，组成无线监测网络，对污染源、污染热点区域和污染暴露敏感人群进行高密度监测。利用</w:t>
      </w:r>
      <w:r>
        <w:t>“</w:t>
      </w:r>
      <w:r>
        <w:t>千里眼</w:t>
      </w:r>
      <w:r>
        <w:t>”“</w:t>
      </w:r>
      <w:r>
        <w:t>顺风耳</w:t>
      </w:r>
      <w:r>
        <w:t>”</w:t>
      </w:r>
      <w:r>
        <w:t>等设备，以实时、准确的环境监测数据作为管理基础，形成全覆盖式网格化精准监控，可增强环保工作的预见性，准确预测预判潜在环境风险，全面提升我国大气环境监管水平。</w:t>
      </w:r>
    </w:p>
    <w:p w:rsidR="002210DD" w:rsidRDefault="00A205B8">
      <w:pPr>
        <w:ind w:firstLine="480"/>
      </w:pPr>
      <w:r>
        <w:t>基于传感器设备的大气网格化</w:t>
      </w:r>
      <w:proofErr w:type="gramStart"/>
      <w:r>
        <w:t>监测微站与</w:t>
      </w:r>
      <w:proofErr w:type="gramEnd"/>
      <w:r>
        <w:t>国家环境空气质量标准监测站在点位类别和使用用途等方面既有区别又有联系，主要体现在：（</w:t>
      </w:r>
      <w:r>
        <w:t>1</w:t>
      </w:r>
      <w:r>
        <w:t>）关注重点不</w:t>
      </w:r>
      <w:r>
        <w:lastRenderedPageBreak/>
        <w:t>同。国家环境空气质量标准监测站侧重于城市或区域的环境空气质量总体水平和变化趋势，为制定全国大气污染防治规划和对策提供依据；而网格化监测则关注重点区域和重点时段，侧重于监控预警、追踪定位具体污染排放。（</w:t>
      </w:r>
      <w:r>
        <w:t>2</w:t>
      </w:r>
      <w:r>
        <w:t>）监测目的不同。国家环境空气质量标准监测站承担评价与考核功能，注重数据在时间尺度上的准确性和一致性；网格化监测注重监测的时效性、数据获取的经济性和分析结果的实用性，更注重数据在空间尺度上的一致性。（</w:t>
      </w:r>
      <w:r>
        <w:t>3</w:t>
      </w:r>
      <w:r>
        <w:t>）应用场景的不同。国家环境空气质量标准监测站仅用于环境空气质量的监测；而网格化监测</w:t>
      </w:r>
      <w:proofErr w:type="gramStart"/>
      <w:r>
        <w:t>微站既</w:t>
      </w:r>
      <w:proofErr w:type="gramEnd"/>
      <w:r>
        <w:t>可以用于环境空气质量网格化监测，也可用于污染源的监测。污染源监测点根据功能和位置的不同，又可分为道路监测微站、企业监测微站、油烟监测微站、工地、消纳场监测微站、城乡接合部和农村</w:t>
      </w:r>
      <w:proofErr w:type="gramStart"/>
      <w:r>
        <w:t>监测微站等等</w:t>
      </w:r>
      <w:proofErr w:type="gramEnd"/>
      <w:r>
        <w:t>。这些微站将我们周围的点、线、面污染源纷纷纳入，囊括了工业污染源、生活污染源、道路污染源等的监测。（</w:t>
      </w:r>
      <w:r>
        <w:t>4</w:t>
      </w:r>
      <w:r>
        <w:t>）两者的关系。网格化监测站点并非要替代空气质量标准站，而是作为现有空气质量标准站的延伸和细化，深入污染源边界进行监测，其范围覆盖区域更加精细，对数据变化的反映更为及时。系统中的网格化监测站和现有的国省控等空气质量标准站点同步结合，借助物联网、大数据和人工智能等先进技术的辅助，形成一张监测网和监管网相融合的空气质量</w:t>
      </w:r>
      <w:r>
        <w:t>“</w:t>
      </w:r>
      <w:r>
        <w:t>天网</w:t>
      </w:r>
      <w:r>
        <w:t>”</w:t>
      </w:r>
      <w:r>
        <w:t>系统。</w:t>
      </w:r>
    </w:p>
    <w:p w:rsidR="002210DD" w:rsidRDefault="00A205B8">
      <w:pPr>
        <w:pStyle w:val="2"/>
        <w:rPr>
          <w:rFonts w:ascii="Times New Roman" w:hAnsi="Times New Roman"/>
        </w:rPr>
      </w:pPr>
      <w:r>
        <w:rPr>
          <w:rFonts w:ascii="Times New Roman" w:hAnsi="Times New Roman"/>
        </w:rPr>
        <w:t>标准需要适应管理的需要</w:t>
      </w:r>
    </w:p>
    <w:p w:rsidR="002210DD" w:rsidRDefault="00A205B8">
      <w:pPr>
        <w:ind w:firstLine="480"/>
      </w:pPr>
      <w:r>
        <w:t>尽管近年来传感器法网格化监测技术已日益普及，然而，由于目前空气传感器缺乏公认的性能规范，</w:t>
      </w:r>
      <w:r>
        <w:rPr>
          <w:szCs w:val="24"/>
        </w:rPr>
        <w:t>市场上各仪器厂家监测设备的技术水平层次不齐，</w:t>
      </w:r>
      <w:r>
        <w:t>这限制了对这种新兴技术产生的数据质量的理解。为了能正确使用空气质量传感器，国外发布了便携式颗粒物传感器使用规范、技术路线和性能测试等文件，指导人们使用和研究便携式颗粒物传感器，国内这些指导性的文件暂时滞后。</w:t>
      </w:r>
    </w:p>
    <w:p w:rsidR="002210DD" w:rsidRDefault="00A205B8">
      <w:pPr>
        <w:ind w:firstLine="480"/>
      </w:pPr>
      <w:r>
        <w:t>国家层面，目前已颁布的涉及气态污染监测方法的标准主要有</w:t>
      </w:r>
      <w:r>
        <w:t>2013</w:t>
      </w:r>
      <w:r>
        <w:t>年</w:t>
      </w:r>
      <w:r>
        <w:t>7</w:t>
      </w:r>
      <w:r>
        <w:t>月发布的</w:t>
      </w:r>
      <w:r>
        <w:rPr>
          <w:szCs w:val="24"/>
        </w:rPr>
        <w:t>《环境空气气态污染物（</w:t>
      </w:r>
      <w:r>
        <w:rPr>
          <w:szCs w:val="24"/>
        </w:rPr>
        <w:t>SO</w:t>
      </w:r>
      <w:r>
        <w:rPr>
          <w:szCs w:val="24"/>
          <w:vertAlign w:val="subscript"/>
        </w:rPr>
        <w:t>2</w:t>
      </w:r>
      <w:r>
        <w:rPr>
          <w:szCs w:val="24"/>
        </w:rPr>
        <w:t>、</w:t>
      </w:r>
      <w:r>
        <w:rPr>
          <w:szCs w:val="24"/>
        </w:rPr>
        <w:t>NO</w:t>
      </w:r>
      <w:r>
        <w:rPr>
          <w:szCs w:val="24"/>
          <w:vertAlign w:val="subscript"/>
        </w:rPr>
        <w:t>2</w:t>
      </w:r>
      <w:r>
        <w:rPr>
          <w:szCs w:val="24"/>
        </w:rPr>
        <w:t>、</w:t>
      </w:r>
      <w:r>
        <w:rPr>
          <w:szCs w:val="24"/>
        </w:rPr>
        <w:t>O</w:t>
      </w:r>
      <w:r>
        <w:rPr>
          <w:szCs w:val="24"/>
          <w:vertAlign w:val="subscript"/>
        </w:rPr>
        <w:t>3</w:t>
      </w:r>
      <w:r>
        <w:rPr>
          <w:szCs w:val="24"/>
        </w:rPr>
        <w:t>、</w:t>
      </w:r>
      <w:r>
        <w:rPr>
          <w:szCs w:val="24"/>
        </w:rPr>
        <w:t>CO</w:t>
      </w:r>
      <w:r>
        <w:rPr>
          <w:szCs w:val="24"/>
        </w:rPr>
        <w:t>）连续自动监测系统技术要求及检测方法》（</w:t>
      </w:r>
      <w:r>
        <w:rPr>
          <w:szCs w:val="24"/>
        </w:rPr>
        <w:t>HJ 654</w:t>
      </w:r>
      <w:r>
        <w:rPr>
          <w:szCs w:val="24"/>
        </w:rPr>
        <w:t>）。该规范自颁布以来，在规范气态污染物监测技术等方面发挥了重要的作用，但由于采用的监测技术方法差异较大，并不完全适用于高密度的环境空气质量网格化监测系统。有关环境空气质量传感器法网格化监测的技术规范，国家层面已颁布的仅有</w:t>
      </w:r>
      <w:r>
        <w:rPr>
          <w:szCs w:val="24"/>
        </w:rPr>
        <w:t>2017</w:t>
      </w:r>
      <w:r>
        <w:rPr>
          <w:szCs w:val="24"/>
        </w:rPr>
        <w:t>年</w:t>
      </w:r>
      <w:proofErr w:type="gramStart"/>
      <w:r>
        <w:t>环办监测</w:t>
      </w:r>
      <w:proofErr w:type="gramEnd"/>
      <w:r>
        <w:t>函</w:t>
      </w:r>
      <w:r>
        <w:t>2027</w:t>
      </w:r>
      <w:r>
        <w:t>号文件</w:t>
      </w:r>
      <w:r>
        <w:rPr>
          <w:szCs w:val="24"/>
        </w:rPr>
        <w:t>发布的</w:t>
      </w:r>
      <w:r>
        <w:t>《大</w:t>
      </w:r>
      <w:r>
        <w:lastRenderedPageBreak/>
        <w:t>气</w:t>
      </w:r>
      <w:r>
        <w:t>PM</w:t>
      </w:r>
      <w:r>
        <w:rPr>
          <w:vertAlign w:val="subscript"/>
        </w:rPr>
        <w:t>2.5</w:t>
      </w:r>
      <w:r>
        <w:t>网格化监测系统》，但仅针对大气颗粒物</w:t>
      </w:r>
      <w:r>
        <w:t>PM</w:t>
      </w:r>
      <w:r>
        <w:rPr>
          <w:vertAlign w:val="subscript"/>
        </w:rPr>
        <w:t>2.5</w:t>
      </w:r>
      <w:r>
        <w:t>，缺乏其他气态污染物的网格化监测技术规范。</w:t>
      </w:r>
    </w:p>
    <w:p w:rsidR="002210DD" w:rsidRDefault="00A205B8">
      <w:pPr>
        <w:ind w:firstLine="480"/>
      </w:pPr>
      <w:r>
        <w:t>地方层面，部分较早开展环境空气质量网格化监测工作的省份与地区制定、颁布了相关地方标准，如河北省组织编写了《大气污染防治网格化监测系统技术要求及检测方法》等系列地方标准。由于这些地方标准具有较强的地方特点，标准规定的内容不全面等问题。</w:t>
      </w:r>
    </w:p>
    <w:p w:rsidR="002210DD" w:rsidRDefault="00A205B8">
      <w:pPr>
        <w:ind w:firstLine="480"/>
      </w:pPr>
      <w:r>
        <w:t>因此，为了实现高密度精细化大气监管目标，针对气态污染物传感器法监测技术缺乏相应技术规范的现状，亟需开展传感器法监测技术研究和规范编制，为上海市及其他长三角城市开展高时空分辨率的网格化监测提供技术支持。通过制定统一的标准，一方面有利于推进环境空气质量自动监测，提高监测时空分辨率；另一方面有利于规范现有的环境空气网格化监测系统，提高大气污染监管效率；此外，是对传感器监测设备开发和生产的宏观引导，有助于传感器监测技术的提升和推广应用。</w:t>
      </w:r>
    </w:p>
    <w:p w:rsidR="002210DD" w:rsidRDefault="00A205B8">
      <w:pPr>
        <w:pStyle w:val="1"/>
      </w:pPr>
      <w:r>
        <w:t>国内外相关分析方法研究</w:t>
      </w:r>
    </w:p>
    <w:p w:rsidR="002210DD" w:rsidRDefault="00A205B8">
      <w:pPr>
        <w:pStyle w:val="2"/>
        <w:rPr>
          <w:rFonts w:ascii="Times New Roman" w:hAnsi="Times New Roman"/>
        </w:rPr>
      </w:pPr>
      <w:r>
        <w:rPr>
          <w:rFonts w:ascii="Times New Roman" w:hAnsi="Times New Roman"/>
        </w:rPr>
        <w:t>相关标准</w:t>
      </w:r>
    </w:p>
    <w:p w:rsidR="002210DD" w:rsidRDefault="00A205B8">
      <w:pPr>
        <w:pStyle w:val="10"/>
        <w:ind w:firstLine="482"/>
      </w:pPr>
      <w:r>
        <w:t>（</w:t>
      </w:r>
      <w:r>
        <w:t>1</w:t>
      </w:r>
      <w:r>
        <w:t>）国外</w:t>
      </w:r>
    </w:p>
    <w:p w:rsidR="002210DD" w:rsidRDefault="00A205B8">
      <w:pPr>
        <w:ind w:firstLine="480"/>
      </w:pPr>
      <w:r>
        <w:t>目前，美国的空气质量监测可以分为管制性空气质量监测（</w:t>
      </w:r>
      <w:r>
        <w:t>Regulatory Ambient Air Monitoring</w:t>
      </w:r>
      <w:r>
        <w:t>）和非管制性空气质量监测（</w:t>
      </w:r>
      <w:r>
        <w:t>Non-Regulatory Ambient Air Monitoring</w:t>
      </w:r>
      <w:r>
        <w:t>）。管制性空气质量监测站使用的仪器必须为联邦参考法（</w:t>
      </w:r>
      <w:r>
        <w:t>FRM</w:t>
      </w:r>
      <w:r>
        <w:t>）或联邦等效法（</w:t>
      </w:r>
      <w:r>
        <w:t>FEM</w:t>
      </w:r>
      <w:r>
        <w:t>）所规定的设备，即标准监测设备，标准监测设备有制定相应</w:t>
      </w:r>
      <w:proofErr w:type="gramStart"/>
      <w:r>
        <w:t>应</w:t>
      </w:r>
      <w:proofErr w:type="gramEnd"/>
      <w:r>
        <w:t>的性能标准（</w:t>
      </w:r>
      <w:r>
        <w:t>40 CFR Part 53</w:t>
      </w:r>
      <w:r>
        <w:t>），通常情况下，这些标准监测设备体积大、价格高、对布设地点有较高的要求。低成本空气传感器在美国应用于非管制性空气质量监测。</w:t>
      </w:r>
    </w:p>
    <w:p w:rsidR="002210DD" w:rsidRDefault="00A205B8">
      <w:pPr>
        <w:ind w:firstLine="480"/>
      </w:pPr>
      <w:r>
        <w:t>美国环保署（</w:t>
      </w:r>
      <w:r>
        <w:t>EPA</w:t>
      </w:r>
      <w:r>
        <w:t>）于</w:t>
      </w:r>
      <w:r>
        <w:t>2014</w:t>
      </w:r>
      <w:r>
        <w:t>年左右开始关注小型传感器在空气质量监测和管理方面的应用，为了促进传感器技术在空气质量监测领域的发展，</w:t>
      </w:r>
      <w:r>
        <w:t>EPA</w:t>
      </w:r>
      <w:r>
        <w:t>于</w:t>
      </w:r>
      <w:r>
        <w:t>2013</w:t>
      </w:r>
      <w:r>
        <w:t>年</w:t>
      </w:r>
      <w:r>
        <w:t>8</w:t>
      </w:r>
      <w:r>
        <w:t>月率先发布了利用空气质量监测传感器设备作为</w:t>
      </w:r>
      <w:r>
        <w:t>“</w:t>
      </w:r>
      <w:r>
        <w:t>下一代空气监测</w:t>
      </w:r>
      <w:r>
        <w:t>”</w:t>
      </w:r>
      <w:r>
        <w:t>的路线图（</w:t>
      </w:r>
      <w:r>
        <w:t>Roadmap for Next Generation Air Monitoring</w:t>
      </w:r>
      <w:r>
        <w:t>），积极开展设备研发比对，以</w:t>
      </w:r>
      <w:r>
        <w:lastRenderedPageBreak/>
        <w:t>指导传感器的使用。并于</w:t>
      </w:r>
      <w:r>
        <w:t>2014</w:t>
      </w:r>
      <w:r>
        <w:t>年</w:t>
      </w:r>
      <w:r>
        <w:t>EPA</w:t>
      </w:r>
      <w:r>
        <w:t>颁布了指导社区和个人使用低成本空气质量传感器的《空气传感器指南》，该指南描述了空气传感器的成本范围和性能，其中一个主要部分是关于空气传感器监测数据质量注意事项的讨论，诸如在实际应用中需要校准传感器、确定设备响应的精度、响应偏差和其他性能特征等，用于帮助那些有兴趣使用低成本空气质量传感器技术进行空气质量监测的公民科学家和其他人员</w:t>
      </w:r>
      <w:proofErr w:type="gramStart"/>
      <w:r>
        <w:t>作出</w:t>
      </w:r>
      <w:proofErr w:type="gramEnd"/>
      <w:r>
        <w:t>最适当的选择。</w:t>
      </w:r>
    </w:p>
    <w:p w:rsidR="002210DD" w:rsidRDefault="00A205B8">
      <w:pPr>
        <w:ind w:firstLine="480"/>
      </w:pPr>
      <w:r>
        <w:t>同时，</w:t>
      </w:r>
      <w:r>
        <w:t>EPA</w:t>
      </w:r>
      <w:r>
        <w:t>希望通过</w:t>
      </w:r>
      <w:r>
        <w:t>“</w:t>
      </w:r>
      <w:r>
        <w:t>公民科学</w:t>
      </w:r>
      <w:r>
        <w:t>”</w:t>
      </w:r>
      <w:r>
        <w:t>（</w:t>
      </w:r>
      <w:r>
        <w:t>Citizen Science</w:t>
      </w:r>
      <w:r>
        <w:t>）让公众更好地参与到环境保护过程中，为空间发展贡献自己的力量。其中，利用低成本空气质量传感器实现社区空气质量改善就是其中一项，通过这样的方式可以填补监测数据空白、实现资源的有效利用、并与社区建立联系，让社区更多地参与到空气质量改善过程中。</w:t>
      </w:r>
      <w:r>
        <w:t>2017</w:t>
      </w:r>
      <w:r>
        <w:t>年，美国加州政府通过的</w:t>
      </w:r>
      <w:r>
        <w:t>AB617</w:t>
      </w:r>
      <w:r>
        <w:t>法案（</w:t>
      </w:r>
      <w:r>
        <w:t>Assembly Bill 617</w:t>
      </w:r>
      <w:r>
        <w:t>）旨在通过针对每个社区的特定需求和问题制定战略来改善空气质量。加州空气质量管理区（</w:t>
      </w:r>
      <w:r>
        <w:t>Air Quality Management Districts</w:t>
      </w:r>
      <w:r>
        <w:t>，</w:t>
      </w:r>
      <w:r>
        <w:t>AQMDs</w:t>
      </w:r>
      <w:r>
        <w:t>）负责制定和实施</w:t>
      </w:r>
      <w:r>
        <w:t>“</w:t>
      </w:r>
      <w:r>
        <w:t>以社区为中心</w:t>
      </w:r>
      <w:r>
        <w:t>”</w:t>
      </w:r>
      <w:r>
        <w:t>的战略，在改善空气质量方面起着带头作用。</w:t>
      </w:r>
    </w:p>
    <w:p w:rsidR="002210DD" w:rsidRDefault="00A205B8">
      <w:pPr>
        <w:ind w:firstLine="480"/>
      </w:pPr>
      <w:r>
        <w:t>为了向公众展示低成本传感器的实际效能，南海岸空气质量管理区还建立了空气质量传感器性能评估中心</w:t>
      </w:r>
      <w:r>
        <w:t>( Air Quality Sensor Performance Evaluation Center</w:t>
      </w:r>
      <w:r>
        <w:t>，</w:t>
      </w:r>
      <w:r>
        <w:t>AQ</w:t>
      </w:r>
      <w:r>
        <w:t>－</w:t>
      </w:r>
      <w:r>
        <w:t xml:space="preserve">SPEC) </w:t>
      </w:r>
      <w:r>
        <w:t>，旨在通过实地测试和实验室实验对当前可用的传感器进行全面的性能表征。在实地测试中，空气质量传感器与标准监测设备并排运行测量同一污染物，为期两个月以提供更加全面的整体性能统计信息，具体包括模型内部变异性（</w:t>
      </w:r>
      <w:r>
        <w:t>Intra-model Variability</w:t>
      </w:r>
      <w:r>
        <w:t>）、数据恢复（</w:t>
      </w:r>
      <w:r>
        <w:t>Data Recovery</w:t>
      </w:r>
      <w:r>
        <w:t>）以及线性相关系数（</w:t>
      </w:r>
      <w:r>
        <w:t>Linear Correlation Coefficient</w:t>
      </w:r>
      <w:r>
        <w:t>，</w:t>
      </w:r>
      <w:r>
        <w:t>R2</w:t>
      </w:r>
      <w:r>
        <w:t>）。</w:t>
      </w:r>
    </w:p>
    <w:p w:rsidR="002210DD" w:rsidRDefault="00A205B8">
      <w:pPr>
        <w:ind w:firstLine="480"/>
      </w:pPr>
      <w:r>
        <w:t>欧盟空气质量指令（</w:t>
      </w:r>
      <w:r>
        <w:t>Air Quality Directive</w:t>
      </w:r>
      <w:r>
        <w:t>，</w:t>
      </w:r>
      <w:r>
        <w:t>AQD</w:t>
      </w:r>
      <w:r>
        <w:t>）中确定了空气质量监测的标准，并定义了成员国在监测空气质量时应该采用的标准测量方法。这些标准方法目前应用于欧洲城市的固定监测网络。同时，空气质量指令也允许采用除规定外的其他技术进行空气质量监测，使得传感器技术在该领域的应用成为可能。</w:t>
      </w:r>
    </w:p>
    <w:p w:rsidR="002210DD" w:rsidRDefault="00A205B8">
      <w:pPr>
        <w:ind w:firstLine="480"/>
      </w:pPr>
      <w:r>
        <w:t>为探索低成本空气传感器技术，</w:t>
      </w:r>
      <w:r>
        <w:t>2011</w:t>
      </w:r>
      <w:r>
        <w:t>年，欧盟出资建立欧盟科技合作网络（</w:t>
      </w:r>
      <w:r>
        <w:t>The European Cooperation in Science and Technology</w:t>
      </w:r>
      <w:r>
        <w:t>，</w:t>
      </w:r>
      <w:r>
        <w:t>COST</w:t>
      </w:r>
      <w:r>
        <w:t>），成员国与其合作伙伴签署了欧洲空气污染控制和环境可持续性新传感技术网络行动计划（</w:t>
      </w:r>
      <w:r>
        <w:t xml:space="preserve">TD 1105-European Network on New Sensing Technologies for Air-Pollution Control and </w:t>
      </w:r>
      <w:r>
        <w:lastRenderedPageBreak/>
        <w:t>Environmental Sustainability</w:t>
      </w:r>
      <w:r>
        <w:t>，</w:t>
      </w:r>
      <w:r>
        <w:t>Eu Net Air</w:t>
      </w:r>
      <w:r>
        <w:t>）。该行动计划重点关注基于空气质量控制的低成本传感器技术，并建立一个跨学科顶级协调合作网络。</w:t>
      </w:r>
    </w:p>
    <w:p w:rsidR="002210DD" w:rsidRDefault="00A205B8">
      <w:pPr>
        <w:ind w:firstLine="480"/>
      </w:pPr>
      <w:r>
        <w:t>2013</w:t>
      </w:r>
      <w:r>
        <w:t>年，欧盟环保署建立了监控认证计划（</w:t>
      </w:r>
      <w:r>
        <w:t>MCERTS</w:t>
      </w:r>
      <w:r>
        <w:t>），发布了用于监测空气污染的低成本气体传感器的评估和校准协议，并提供了一个传感器的测试流程用于指导传感器的评估。</w:t>
      </w:r>
      <w:r>
        <w:t>MCERTS</w:t>
      </w:r>
      <w:r>
        <w:t>包括：监控设备必须满足的性能指标；员工必须具备的资格；认证实验室和测试场所符合欧洲和国际标准。该文件基于国际和欧洲标准，规定了指示性环境灰尘监测器的性能标准。传感器的测试流程包括</w:t>
      </w:r>
      <w:r>
        <w:t>3</w:t>
      </w:r>
      <w:r>
        <w:t>个步骤，首先测试传感器的基本性能（重复性、短期和长期漂移），其次确定可影响传感器性能的重要因子，最后通过实验</w:t>
      </w:r>
      <w:r>
        <w:t>/</w:t>
      </w:r>
      <w:r>
        <w:t>模型进行验证。</w:t>
      </w:r>
    </w:p>
    <w:p w:rsidR="002210DD" w:rsidRDefault="00A205B8">
      <w:pPr>
        <w:ind w:firstLine="480"/>
      </w:pPr>
      <w:r>
        <w:t>目前，在某项新技术被纳入空气质量监测网络用于向欧盟委员会报告空气监测数据之前必须经过严格的、全面的、针对特定污染物类型的测试程序，包括实验室条件下的极端测试以及三个月的实地测试。不过，现在的评估方法只是针对单一污染物从不确定性、校正、与其他传感器系统之间相互独立性等几个方面进行评估。如果是针对高密度的、多种污染物的低成本空气传感器网络，这种方法可能不适用、也不划算，因而需要进一步制定传感器技术评估指南或规范。另外，由于传感器性能的不确定性，监测数据能否满足</w:t>
      </w:r>
      <w:r>
        <w:t xml:space="preserve">DQO( Data Quality Objective) </w:t>
      </w:r>
      <w:r>
        <w:t>的质量要求在欧盟也是一个主要问题。</w:t>
      </w:r>
    </w:p>
    <w:p w:rsidR="002210DD" w:rsidRDefault="00A205B8">
      <w:pPr>
        <w:ind w:firstLine="480"/>
      </w:pPr>
      <w:r>
        <w:t xml:space="preserve">2015 </w:t>
      </w:r>
      <w:r>
        <w:t>年</w:t>
      </w:r>
      <w:r>
        <w:t xml:space="preserve">9 </w:t>
      </w:r>
      <w:r>
        <w:t>月，欧洲标准化委员会</w:t>
      </w:r>
      <w:r>
        <w:t xml:space="preserve">( CEN/TC264 /WG42) </w:t>
      </w:r>
      <w:r>
        <w:t>成立了评估空气质量传感器的工作组，目的是制定监测大气中气体污染物和颗粒物传感器测试方法的技术规范</w:t>
      </w:r>
      <w:r>
        <w:t xml:space="preserve">( Performance Evaluation of Sensors for the Determination of Concentrations of Gaseous Pollutants and Particulate Matter in Ambient Air) </w:t>
      </w:r>
      <w:r>
        <w:t>。</w:t>
      </w:r>
    </w:p>
    <w:p w:rsidR="002210DD" w:rsidRDefault="00A205B8">
      <w:pPr>
        <w:pStyle w:val="10"/>
        <w:ind w:firstLine="482"/>
      </w:pPr>
      <w:r>
        <w:t>（</w:t>
      </w:r>
      <w:r>
        <w:t>2</w:t>
      </w:r>
      <w:r>
        <w:t>）国内</w:t>
      </w:r>
    </w:p>
    <w:p w:rsidR="002210DD" w:rsidRDefault="00A205B8">
      <w:pPr>
        <w:ind w:firstLine="480"/>
      </w:pPr>
      <w:r>
        <w:t>在中国，原环境保护部</w:t>
      </w:r>
      <w:r>
        <w:t>2012</w:t>
      </w:r>
      <w:r>
        <w:t>年发布的《环境空气质量标准》（</w:t>
      </w:r>
      <w:r>
        <w:t>GB 3095</w:t>
      </w:r>
      <w:r>
        <w:t>）中规定了环境空气污染物监测项目及各项污染物浓度限值等内容，用于环境空气质量评价与管理。</w:t>
      </w:r>
      <w:r>
        <w:t>2013</w:t>
      </w:r>
      <w:r>
        <w:t>年《环境空气质量自动监测技术规范》（</w:t>
      </w:r>
      <w:r>
        <w:t>HJ/T 193</w:t>
      </w:r>
      <w:r>
        <w:t>）对空气中气态污染物连续监测系统的技术要求做了规定。满足标准的污染物监测仪器均需要通过复杂的测试认证，以产出高质量的监测数据。</w:t>
      </w:r>
    </w:p>
    <w:p w:rsidR="002210DD" w:rsidRDefault="00A205B8">
      <w:pPr>
        <w:ind w:firstLine="480"/>
      </w:pPr>
      <w:r>
        <w:t>现有环境空气质量连续自动监测技术规范主要从采样器技术要求、检测方法、系统安装和运行、质控技术等</w:t>
      </w:r>
      <w:r>
        <w:t>4</w:t>
      </w:r>
      <w:r>
        <w:t>方面对大气颗粒物（</w:t>
      </w:r>
      <w:r>
        <w:t>PM</w:t>
      </w:r>
      <w:r>
        <w:rPr>
          <w:vertAlign w:val="subscript"/>
        </w:rPr>
        <w:t>10</w:t>
      </w:r>
      <w:r>
        <w:t>和</w:t>
      </w:r>
      <w:r>
        <w:t>PM</w:t>
      </w:r>
      <w:r>
        <w:rPr>
          <w:vertAlign w:val="subscript"/>
        </w:rPr>
        <w:t>2.5</w:t>
      </w:r>
      <w:r>
        <w:t>）和气态污染</w:t>
      </w:r>
      <w:r>
        <w:lastRenderedPageBreak/>
        <w:t>物（</w:t>
      </w:r>
      <w:r>
        <w:t>SO</w:t>
      </w:r>
      <w:r>
        <w:rPr>
          <w:vertAlign w:val="subscript"/>
        </w:rPr>
        <w:t>2</w:t>
      </w:r>
      <w:r>
        <w:t>、</w:t>
      </w:r>
      <w:r>
        <w:t>NO</w:t>
      </w:r>
      <w:r>
        <w:rPr>
          <w:vertAlign w:val="subscript"/>
        </w:rPr>
        <w:t>2</w:t>
      </w:r>
      <w:r>
        <w:t>、</w:t>
      </w:r>
      <w:r>
        <w:t>O</w:t>
      </w:r>
      <w:r>
        <w:rPr>
          <w:vertAlign w:val="subscript"/>
        </w:rPr>
        <w:t>3</w:t>
      </w:r>
      <w:r>
        <w:t>、</w:t>
      </w:r>
      <w:r>
        <w:t>CO</w:t>
      </w:r>
      <w:r>
        <w:t>）共</w:t>
      </w:r>
      <w:r>
        <w:t>6</w:t>
      </w:r>
      <w:r>
        <w:t>类监测因子做了规定。其中，颗粒</w:t>
      </w:r>
      <w:proofErr w:type="gramStart"/>
      <w:r>
        <w:t>物连续</w:t>
      </w:r>
      <w:proofErr w:type="gramEnd"/>
      <w:r>
        <w:t>自动监测主要执行的技术规范包括：《环境空气颗粒物（</w:t>
      </w:r>
      <w:r>
        <w:t>PM</w:t>
      </w:r>
      <w:r>
        <w:rPr>
          <w:vertAlign w:val="subscript"/>
        </w:rPr>
        <w:t>10</w:t>
      </w:r>
      <w:r>
        <w:t>和</w:t>
      </w:r>
      <w:r>
        <w:t>PM</w:t>
      </w:r>
      <w:r>
        <w:rPr>
          <w:vertAlign w:val="subscript"/>
        </w:rPr>
        <w:t>2.5</w:t>
      </w:r>
      <w:r>
        <w:t>）采样器技术要求及检测方法》（</w:t>
      </w:r>
      <w:r>
        <w:t>HJ 93</w:t>
      </w:r>
      <w:r>
        <w:t>－</w:t>
      </w:r>
      <w:r>
        <w:t>2013</w:t>
      </w:r>
      <w:r>
        <w:t>）、《环境空气颗粒物（</w:t>
      </w:r>
      <w:r>
        <w:t>PM</w:t>
      </w:r>
      <w:r>
        <w:rPr>
          <w:vertAlign w:val="subscript"/>
        </w:rPr>
        <w:t>10</w:t>
      </w:r>
      <w:r>
        <w:t>和</w:t>
      </w:r>
      <w:r>
        <w:t>PM</w:t>
      </w:r>
      <w:r>
        <w:rPr>
          <w:vertAlign w:val="subscript"/>
        </w:rPr>
        <w:t>2.5</w:t>
      </w:r>
      <w:r>
        <w:t>）连续自动监测系统技术要求及检测方法》（</w:t>
      </w:r>
      <w:r>
        <w:t>HJ 653-2013</w:t>
      </w:r>
      <w:r>
        <w:t>）、《环境空气颗粒物（</w:t>
      </w:r>
      <w:r>
        <w:t>PM</w:t>
      </w:r>
      <w:r>
        <w:rPr>
          <w:vertAlign w:val="subscript"/>
        </w:rPr>
        <w:t>10</w:t>
      </w:r>
      <w:r>
        <w:t>和</w:t>
      </w:r>
      <w:r>
        <w:t>PM</w:t>
      </w:r>
      <w:r>
        <w:rPr>
          <w:vertAlign w:val="subscript"/>
        </w:rPr>
        <w:t>2.5</w:t>
      </w:r>
      <w:r>
        <w:t>）连续自动监测系统安装和验收技术规范》（</w:t>
      </w:r>
      <w:r>
        <w:t>HJ 655</w:t>
      </w:r>
      <w:r>
        <w:t>－</w:t>
      </w:r>
      <w:r>
        <w:t>2013</w:t>
      </w:r>
      <w:r>
        <w:t>）；气态污染物连续自动监测主要执行的技术规范包括：《</w:t>
      </w:r>
      <w:r>
        <w:t>HJ 817-2018</w:t>
      </w:r>
      <w:r>
        <w:t>环境空气颗粒物（</w:t>
      </w:r>
      <w:r>
        <w:t>PM</w:t>
      </w:r>
      <w:r>
        <w:rPr>
          <w:vertAlign w:val="subscript"/>
        </w:rPr>
        <w:t>10</w:t>
      </w:r>
      <w:r>
        <w:t>和</w:t>
      </w:r>
      <w:r>
        <w:t>PM</w:t>
      </w:r>
      <w:r>
        <w:rPr>
          <w:vertAlign w:val="subscript"/>
        </w:rPr>
        <w:t>2.5</w:t>
      </w:r>
      <w:r>
        <w:t>）连续自动监测系统运行和质控技术规范》（</w:t>
      </w:r>
      <w:r>
        <w:t>HJ 817-2018</w:t>
      </w:r>
      <w:r>
        <w:t>）、《环境空气气态污染物（</w:t>
      </w:r>
      <w:r>
        <w:t>SO</w:t>
      </w:r>
      <w:r>
        <w:rPr>
          <w:vertAlign w:val="subscript"/>
        </w:rPr>
        <w:t>2</w:t>
      </w:r>
      <w:r>
        <w:t>、</w:t>
      </w:r>
      <w:r>
        <w:t>NO</w:t>
      </w:r>
      <w:r>
        <w:rPr>
          <w:vertAlign w:val="subscript"/>
        </w:rPr>
        <w:t>2</w:t>
      </w:r>
      <w:r>
        <w:t>、</w:t>
      </w:r>
      <w:r>
        <w:t>O</w:t>
      </w:r>
      <w:r>
        <w:rPr>
          <w:vertAlign w:val="subscript"/>
        </w:rPr>
        <w:t>3</w:t>
      </w:r>
      <w:r>
        <w:t>、</w:t>
      </w:r>
      <w:r>
        <w:t>CO</w:t>
      </w:r>
      <w:r>
        <w:t>）连续自动监测系统技术要求及检测方法》（</w:t>
      </w:r>
      <w:r>
        <w:t>HJ 654-2013</w:t>
      </w:r>
      <w:r>
        <w:t>）、《环境空气气态污染物（</w:t>
      </w:r>
      <w:r>
        <w:t>SO</w:t>
      </w:r>
      <w:r>
        <w:rPr>
          <w:vertAlign w:val="subscript"/>
        </w:rPr>
        <w:t>2</w:t>
      </w:r>
      <w:r>
        <w:t>、</w:t>
      </w:r>
      <w:r>
        <w:t>NO</w:t>
      </w:r>
      <w:r>
        <w:rPr>
          <w:vertAlign w:val="subscript"/>
        </w:rPr>
        <w:t>2</w:t>
      </w:r>
      <w:r>
        <w:t>、</w:t>
      </w:r>
      <w:r>
        <w:t>O</w:t>
      </w:r>
      <w:r>
        <w:rPr>
          <w:vertAlign w:val="subscript"/>
        </w:rPr>
        <w:t>3</w:t>
      </w:r>
      <w:r>
        <w:t>、</w:t>
      </w:r>
      <w:r>
        <w:t>CO</w:t>
      </w:r>
      <w:r>
        <w:t>）连续自动监测系统运行和质控技术规范》（</w:t>
      </w:r>
      <w:r>
        <w:t>HJ 818 -2018</w:t>
      </w:r>
      <w:r>
        <w:t>）、《环境空气气态污染物（</w:t>
      </w:r>
      <w:r>
        <w:t>SO</w:t>
      </w:r>
      <w:r>
        <w:rPr>
          <w:vertAlign w:val="subscript"/>
        </w:rPr>
        <w:t>2</w:t>
      </w:r>
      <w:r>
        <w:t>、</w:t>
      </w:r>
      <w:r>
        <w:t>NO</w:t>
      </w:r>
      <w:r>
        <w:rPr>
          <w:vertAlign w:val="subscript"/>
        </w:rPr>
        <w:t>2</w:t>
      </w:r>
      <w:r>
        <w:t>、</w:t>
      </w:r>
      <w:r>
        <w:t>O</w:t>
      </w:r>
      <w:r>
        <w:rPr>
          <w:vertAlign w:val="subscript"/>
        </w:rPr>
        <w:t>3</w:t>
      </w:r>
      <w:r>
        <w:t>、</w:t>
      </w:r>
      <w:r>
        <w:t>CO</w:t>
      </w:r>
      <w:r>
        <w:t>）连续自动监测系统安装和验收技术规范》（</w:t>
      </w:r>
      <w:r>
        <w:t>HJ193</w:t>
      </w:r>
      <w:r>
        <w:t>－</w:t>
      </w:r>
      <w:r>
        <w:t>2013</w:t>
      </w:r>
      <w:r>
        <w:t>）。</w:t>
      </w:r>
    </w:p>
    <w:p w:rsidR="002210DD" w:rsidRDefault="00A205B8">
      <w:pPr>
        <w:ind w:firstLine="480"/>
      </w:pPr>
      <w:r>
        <w:t>自</w:t>
      </w:r>
      <w:r>
        <w:t>2013</w:t>
      </w:r>
      <w:r>
        <w:t>年提出《大气污染防治行动计划》以来，政府对空气污染治理重视程度不断提高的同时，也意识到传统监测方法的局限性。</w:t>
      </w:r>
      <w:r>
        <w:t>2015</w:t>
      </w:r>
      <w:r>
        <w:t>年</w:t>
      </w:r>
      <w:r>
        <w:t>7</w:t>
      </w:r>
      <w:r>
        <w:t>月，国务院办公厅印发了《生态环境监测网络建设方案》提出要依靠科技创新与技术进步，强化卫星遥感等高新技术、先进装备与系统的应用，提高生态环境监测立体化、自动化、智能化水平。到</w:t>
      </w:r>
      <w:r>
        <w:t xml:space="preserve">2020 </w:t>
      </w:r>
      <w:r>
        <w:t>年，全国生态环境监测网络基本实现环境质量、重点污染源、生态状况</w:t>
      </w:r>
      <w:proofErr w:type="gramStart"/>
      <w:r>
        <w:t>监测全</w:t>
      </w:r>
      <w:proofErr w:type="gramEnd"/>
      <w:r>
        <w:t>覆盖，各级各类监测数据系统互联共享，监测预报预警、信息化能力和保障水平明显提升，监测与监管协同联动，初步建成陆海统筹、天地一体、上下协同、信息共享的生态环境监测网络，使生态环境监测能力与生态文明建设要求相适应。</w:t>
      </w:r>
    </w:p>
    <w:p w:rsidR="002210DD" w:rsidRDefault="00A205B8">
      <w:pPr>
        <w:ind w:firstLine="480"/>
      </w:pPr>
      <w:r>
        <w:t xml:space="preserve">2018 </w:t>
      </w:r>
      <w:r>
        <w:t>年</w:t>
      </w:r>
      <w:r>
        <w:t xml:space="preserve">8 </w:t>
      </w:r>
      <w:r>
        <w:t>月，生态环境</w:t>
      </w:r>
      <w:proofErr w:type="gramStart"/>
      <w:r>
        <w:t>部启动</w:t>
      </w:r>
      <w:proofErr w:type="gramEnd"/>
      <w:r>
        <w:t>了</w:t>
      </w:r>
      <w:r>
        <w:t>“</w:t>
      </w:r>
      <w:r>
        <w:t>千里眼计划</w:t>
      </w:r>
      <w:r>
        <w:t>”</w:t>
      </w:r>
      <w:r>
        <w:t>，要求利用各种技术手段不断细化执法监管区域、精密监控污染物浓度变化。京津冀及周边</w:t>
      </w:r>
      <w:r>
        <w:t>“2 + 26”</w:t>
      </w:r>
      <w:r>
        <w:t>城市全行政区域按照</w:t>
      </w:r>
      <w:r>
        <w:t>3</w:t>
      </w:r>
      <w:r>
        <w:t>千米</w:t>
      </w:r>
      <w:r>
        <w:t>×3</w:t>
      </w:r>
      <w:r>
        <w:t>千米划分网格，利用卫星遥感技术，筛选出</w:t>
      </w:r>
      <w:r>
        <w:t>PM</w:t>
      </w:r>
      <w:r>
        <w:rPr>
          <w:vertAlign w:val="subscript"/>
        </w:rPr>
        <w:t>2.5</w:t>
      </w:r>
      <w:r>
        <w:t>浓度较高的</w:t>
      </w:r>
      <w:r>
        <w:t>3600</w:t>
      </w:r>
      <w:r>
        <w:t>个网格作为热点网格，进行重点监管。</w:t>
      </w:r>
      <w:r>
        <w:t>2018</w:t>
      </w:r>
      <w:r>
        <w:t>年</w:t>
      </w:r>
      <w:r>
        <w:t>10</w:t>
      </w:r>
      <w:r>
        <w:t>月起增加</w:t>
      </w:r>
      <w:proofErr w:type="gramStart"/>
      <w:r>
        <w:t>汾</w:t>
      </w:r>
      <w:proofErr w:type="gramEnd"/>
      <w:r>
        <w:t>渭平原</w:t>
      </w:r>
      <w:r>
        <w:t xml:space="preserve">11 </w:t>
      </w:r>
      <w:r>
        <w:t>城市，</w:t>
      </w:r>
      <w:r>
        <w:t>2019</w:t>
      </w:r>
      <w:r>
        <w:t>年</w:t>
      </w:r>
      <w:r>
        <w:t>2</w:t>
      </w:r>
      <w:r>
        <w:t>月起长三角</w:t>
      </w:r>
      <w:r>
        <w:t xml:space="preserve">41 </w:t>
      </w:r>
      <w:r>
        <w:t>城市逐步纳入范围，实现对大气污染防治三大重点区域的热点网格</w:t>
      </w:r>
      <w:proofErr w:type="gramStart"/>
      <w:r>
        <w:t>监管全</w:t>
      </w:r>
      <w:proofErr w:type="gramEnd"/>
      <w:r>
        <w:t>覆盖，提高环境监管效能。我国大气污染防治开始进入精细化管理阶段，这为低成本传感器在大气监测领域的进一步发展奠定了政策基础。</w:t>
      </w:r>
    </w:p>
    <w:p w:rsidR="002210DD" w:rsidRDefault="00A205B8">
      <w:pPr>
        <w:ind w:firstLine="480"/>
      </w:pPr>
      <w:r>
        <w:t>传感器领域的功能迭代和技术创新发展很快，低成本传感器在提供本地化的</w:t>
      </w:r>
      <w:r>
        <w:lastRenderedPageBreak/>
        <w:t>污染数据方面发挥着很大潜力，成为大气环境精细化管理的重要抓手。由于传感器监测技术与传统监测技术方法差异较大，已有标准和规范不能适用于环境空气质量网格化监测系统。为了适应当前我国大气精细化管控的需求，环保部于</w:t>
      </w:r>
      <w:r>
        <w:t>2017</w:t>
      </w:r>
      <w:r>
        <w:t>年印发了《大气</w:t>
      </w:r>
      <w:r>
        <w:t>PM</w:t>
      </w:r>
      <w:r>
        <w:rPr>
          <w:vertAlign w:val="subscript"/>
        </w:rPr>
        <w:t>2.5</w:t>
      </w:r>
      <w:r>
        <w:t>网格化监测技术要求和检测方法技术指南》（试行）等</w:t>
      </w:r>
      <w:r>
        <w:t>4</w:t>
      </w:r>
      <w:r>
        <w:t>项网格化细颗粒物监测指南，其内容包括：点位布设、技术要求和检测方法、系统质保质控与运行、系统安装与验收，用于指导传感器技术在城市实现小尺度</w:t>
      </w:r>
      <w:r>
        <w:t>PM</w:t>
      </w:r>
      <w:r>
        <w:rPr>
          <w:vertAlign w:val="subscript"/>
        </w:rPr>
        <w:t>2.5</w:t>
      </w:r>
      <w:r>
        <w:t>浓度监测。</w:t>
      </w:r>
    </w:p>
    <w:p w:rsidR="002210DD" w:rsidRDefault="00A205B8">
      <w:pPr>
        <w:ind w:firstLine="480"/>
      </w:pPr>
      <w:r>
        <w:t>已发布的地方相关标准主要有河北省</w:t>
      </w:r>
      <w:r>
        <w:t>2017</w:t>
      </w:r>
      <w:r>
        <w:t>年</w:t>
      </w:r>
      <w:r>
        <w:t>7</w:t>
      </w:r>
      <w:r>
        <w:t>月颁布的《大气污染防治网格化监测系统技术要求及检测方法》（</w:t>
      </w:r>
      <w:r>
        <w:t>DB13/T2544—2017</w:t>
      </w:r>
      <w:r>
        <w:t>）、《大气污染防治网格化监测系统点位布设技术规范》（</w:t>
      </w:r>
      <w:r>
        <w:t>DB13/T2545—2017</w:t>
      </w:r>
      <w:r>
        <w:t>）以及《大气污染防治网格化监测系统安装验收与运行技术规范》（</w:t>
      </w:r>
      <w:r>
        <w:t>DB13/T2546—2017</w:t>
      </w:r>
      <w:r>
        <w:t>）等三项大气网格化监测相关系列技术规范。这些技术规范对多种大气污染物的网格化监测进行了规定。</w:t>
      </w:r>
    </w:p>
    <w:p w:rsidR="002210DD" w:rsidRDefault="00A205B8">
      <w:pPr>
        <w:ind w:firstLine="480"/>
      </w:pPr>
      <w:r>
        <w:t>此外，生态环境部还将研究通过地面</w:t>
      </w:r>
      <w:proofErr w:type="gramStart"/>
      <w:r>
        <w:t>监测微站和</w:t>
      </w:r>
      <w:proofErr w:type="gramEnd"/>
      <w:r>
        <w:t>移动式监测设备等技术手段，综合运用互联网技术和大数据理念，探索构建</w:t>
      </w:r>
      <w:r>
        <w:t>“</w:t>
      </w:r>
      <w:r>
        <w:t>热点网格＋地面监测微站</w:t>
      </w:r>
      <w:r>
        <w:t>+</w:t>
      </w:r>
      <w:r>
        <w:t>移动式监测设备</w:t>
      </w:r>
      <w:r>
        <w:t>”</w:t>
      </w:r>
      <w:r>
        <w:t>的工作模式，不断深入实施</w:t>
      </w:r>
      <w:r>
        <w:t>“</w:t>
      </w:r>
      <w:r>
        <w:t>千里眼计划</w:t>
      </w:r>
      <w:r>
        <w:t>”</w:t>
      </w:r>
      <w:r>
        <w:t>，细化执法监管区域，精密监控</w:t>
      </w:r>
      <w:r>
        <w:t>PM</w:t>
      </w:r>
      <w:r>
        <w:rPr>
          <w:vertAlign w:val="subscript"/>
        </w:rPr>
        <w:t>2.5</w:t>
      </w:r>
      <w:r>
        <w:t>等污染物的浓度变化和异常时段，进一步提升热点网格日常监管和执法检查的针对性和精准性，提高大气污染监管水平，坚决打赢蓝天保卫战。</w:t>
      </w:r>
    </w:p>
    <w:p w:rsidR="002210DD" w:rsidRDefault="00A205B8">
      <w:pPr>
        <w:pStyle w:val="2"/>
        <w:rPr>
          <w:rFonts w:ascii="Times New Roman" w:hAnsi="Times New Roman"/>
        </w:rPr>
      </w:pPr>
      <w:r>
        <w:rPr>
          <w:rFonts w:ascii="Times New Roman" w:hAnsi="Times New Roman"/>
        </w:rPr>
        <w:t>相关研究</w:t>
      </w:r>
    </w:p>
    <w:p w:rsidR="002210DD" w:rsidRDefault="00A205B8">
      <w:pPr>
        <w:pStyle w:val="10"/>
        <w:ind w:firstLine="482"/>
      </w:pPr>
      <w:r>
        <w:t>（</w:t>
      </w:r>
      <w:r>
        <w:t>1</w:t>
      </w:r>
      <w:r>
        <w:t>）国外</w:t>
      </w:r>
    </w:p>
    <w:p w:rsidR="002210DD" w:rsidRDefault="00A205B8">
      <w:pPr>
        <w:ind w:firstLine="480"/>
      </w:pPr>
      <w:r>
        <w:t>对于高密度传感器网络的小型和低成本的设备，目前国外研究主要在传感器性能测试、评估以及带有科研性质的城市局部区域小范围试用方面。</w:t>
      </w:r>
    </w:p>
    <w:p w:rsidR="002210DD" w:rsidRDefault="00A205B8">
      <w:pPr>
        <w:ind w:firstLine="480"/>
      </w:pPr>
      <w:r>
        <w:t>传感器性能的评估通常包括：线性、准确性、精度、响应时间、检测限度、检测范围、温湿度影响、污染物干扰等。如对于颗粒物传感器应侧重湿度影响、检测范围、颗粒物粒径和组分对其影响的评估；对安装在移动平台上的移动传感器应侧重其响应时间的评估、震动等对传感器性能的影响、机动车自身排放对传感器的影响等；对</w:t>
      </w:r>
      <w:r>
        <w:t xml:space="preserve"> VOCs</w:t>
      </w:r>
      <w:r>
        <w:t>、</w:t>
      </w:r>
      <w:r>
        <w:t>NH</w:t>
      </w:r>
      <w:r>
        <w:rPr>
          <w:vertAlign w:val="subscript"/>
        </w:rPr>
        <w:t>3</w:t>
      </w:r>
      <w:r>
        <w:t xml:space="preserve"> </w:t>
      </w:r>
      <w:r>
        <w:t>等痕量气体的检测应侧重于检测限度、稳定性和精确度的评估；对</w:t>
      </w:r>
      <w:r>
        <w:t xml:space="preserve"> NO</w:t>
      </w:r>
      <w:r>
        <w:rPr>
          <w:vertAlign w:val="subscript"/>
        </w:rPr>
        <w:t>2</w:t>
      </w:r>
      <w:r>
        <w:t>、</w:t>
      </w:r>
      <w:r>
        <w:t xml:space="preserve"> O</w:t>
      </w:r>
      <w:r>
        <w:rPr>
          <w:vertAlign w:val="subscript"/>
        </w:rPr>
        <w:t>3</w:t>
      </w:r>
      <w:r>
        <w:t>、</w:t>
      </w:r>
      <w:r>
        <w:t>SO</w:t>
      </w:r>
      <w:r>
        <w:rPr>
          <w:vertAlign w:val="subscript"/>
        </w:rPr>
        <w:t>2</w:t>
      </w:r>
      <w:r>
        <w:t xml:space="preserve"> </w:t>
      </w:r>
      <w:r>
        <w:t>等活性气体应侧重对污染物干扰的评估等。</w:t>
      </w:r>
    </w:p>
    <w:p w:rsidR="002210DD" w:rsidRDefault="00A205B8">
      <w:pPr>
        <w:ind w:firstLine="480"/>
      </w:pPr>
      <w:r>
        <w:lastRenderedPageBreak/>
        <w:t>传感器的评估手段分为实验室模拟和现场评估。实验室模拟，即人为地控制和改变条件排除复杂的气象因素、地理位置影响。现场评估，即将传感器暴露在实际的大气环境中，是了解真实大气的最直接手段。</w:t>
      </w:r>
      <w:r>
        <w:t>2014</w:t>
      </w:r>
      <w:r>
        <w:t>年</w:t>
      </w:r>
      <w:r>
        <w:t>6</w:t>
      </w:r>
      <w:r>
        <w:t>月，美国南海岸空气质量管理区（</w:t>
      </w:r>
      <w:r>
        <w:t>SCAQMD</w:t>
      </w:r>
      <w:r>
        <w:t>）创立了空气质量传感器性能评估中心（</w:t>
      </w:r>
      <w:r>
        <w:t>AQ-SPEC</w:t>
      </w:r>
      <w:r>
        <w:t>），对多种传感器进行了大量测试工作，旨在成为低成本空气监测传感器的测试中心，以建立评估传感器的性能标准，向公众通报市场上的低成本空气传感器的实际性能。该评估中心在受控的实验室条件和现场条件下对空气传感器的性能进行全面的测试与评估。在现场测试中，以联邦参考方法和联邦等效方法（分别为</w:t>
      </w:r>
      <w:r>
        <w:t>FRM</w:t>
      </w:r>
      <w:r>
        <w:t>和</w:t>
      </w:r>
      <w:r>
        <w:t>FEM</w:t>
      </w:r>
      <w:r>
        <w:t>）为标准，传感器与一个或多个</w:t>
      </w:r>
      <w:r>
        <w:t>SCAQMD</w:t>
      </w:r>
      <w:r>
        <w:t>现有的空气监测站一起测试，使用传统的联邦参考或等效方法来测量总体性能。然后将在现场显示可接受性能的传感器送到</w:t>
      </w:r>
      <w:r>
        <w:t>AQ-SPEC</w:t>
      </w:r>
      <w:r>
        <w:t>实验室，在受控的大气室中进行更详细的测试。在实验室测试中，通过改变</w:t>
      </w:r>
      <w:r>
        <w:t>“</w:t>
      </w:r>
      <w:r>
        <w:t>测试箱</w:t>
      </w:r>
      <w:r>
        <w:t>”</w:t>
      </w:r>
      <w:r>
        <w:t>中的温度和相对湿度，应用传感器对已知浓度的颗粒物或气体进行测量。然后，在技术报告中总结每个传感器的性能，并与其他相关信息发布在网站上</w:t>
      </w:r>
      <w:r>
        <w:t>( www.Aqmd.gov /aq-spec)</w:t>
      </w:r>
      <w:r>
        <w:t>。</w:t>
      </w:r>
    </w:p>
    <w:p w:rsidR="002210DD" w:rsidRDefault="00A205B8">
      <w:pPr>
        <w:ind w:firstLine="480"/>
      </w:pPr>
      <w:r>
        <w:t>2015</w:t>
      </w:r>
      <w:r>
        <w:t>年</w:t>
      </w:r>
      <w:r>
        <w:t>WANG</w:t>
      </w:r>
      <w:r>
        <w:t>等根据</w:t>
      </w:r>
      <w:r>
        <w:t>USEPA</w:t>
      </w:r>
      <w:r>
        <w:t>建议方法对</w:t>
      </w:r>
      <w:r>
        <w:t>3</w:t>
      </w:r>
      <w:r>
        <w:t>个低成本颗粒物传感器进行实验室评估和校准；</w:t>
      </w:r>
      <w:r>
        <w:t>2016</w:t>
      </w:r>
      <w:r>
        <w:t>年</w:t>
      </w:r>
      <w:r>
        <w:t>USEPA</w:t>
      </w:r>
      <w:r>
        <w:t>社区空气传感器网络（</w:t>
      </w:r>
      <w:r>
        <w:t>CAIRSENSE</w:t>
      </w:r>
      <w:r>
        <w:t>）项目，对传感器进行了现场测试（</w:t>
      </w:r>
      <w:r>
        <w:t>SAFT</w:t>
      </w:r>
      <w:r>
        <w:t>）和</w:t>
      </w:r>
      <w:r>
        <w:t>WSN</w:t>
      </w:r>
      <w:r>
        <w:t>长期测试；欧盟环境署监控认证计划在</w:t>
      </w:r>
      <w:r>
        <w:t>2015</w:t>
      </w:r>
      <w:r>
        <w:t>、</w:t>
      </w:r>
      <w:r>
        <w:t>2017</w:t>
      </w:r>
      <w:r>
        <w:t>年进行了低成本传感器的现场校准方法性能比对。</w:t>
      </w:r>
    </w:p>
    <w:p w:rsidR="002210DD" w:rsidRDefault="00A205B8">
      <w:pPr>
        <w:pStyle w:val="10"/>
        <w:ind w:firstLine="482"/>
      </w:pPr>
      <w:r>
        <w:t>（</w:t>
      </w:r>
      <w:r>
        <w:t>2</w:t>
      </w:r>
      <w:r>
        <w:t>）国内</w:t>
      </w:r>
    </w:p>
    <w:p w:rsidR="002210DD" w:rsidRDefault="00A205B8">
      <w:pPr>
        <w:ind w:firstLine="480"/>
      </w:pPr>
      <w:r>
        <w:t>国内已有研究人员将空气传感器与其他原理大气污染物在线监测设备进行了比对研究。比如，王东方等人（王东方，</w:t>
      </w:r>
      <w:r>
        <w:t>2009</w:t>
      </w:r>
      <w:r>
        <w:t>）介绍了一种基于厚膜传感器技术，可同时测量</w:t>
      </w:r>
      <w:r>
        <w:t>NO</w:t>
      </w:r>
      <w:r>
        <w:rPr>
          <w:vertAlign w:val="subscript"/>
        </w:rPr>
        <w:t>2</w:t>
      </w:r>
      <w:r>
        <w:t>、</w:t>
      </w:r>
      <w:r>
        <w:t>O</w:t>
      </w:r>
      <w:r>
        <w:rPr>
          <w:vertAlign w:val="subscript"/>
        </w:rPr>
        <w:t>3</w:t>
      </w:r>
      <w:r>
        <w:t>、</w:t>
      </w:r>
      <w:r>
        <w:t>CO</w:t>
      </w:r>
      <w:r>
        <w:t>三个因子的空气质量监测仪器（</w:t>
      </w:r>
      <w:r>
        <w:t>ETL3000</w:t>
      </w:r>
      <w:r>
        <w:t>空气质量监测仪），通过和常规点式仪器的检测性能对比分析，认为该仪器</w:t>
      </w:r>
      <w:r>
        <w:t>O</w:t>
      </w:r>
      <w:r>
        <w:rPr>
          <w:vertAlign w:val="subscript"/>
        </w:rPr>
        <w:t>2</w:t>
      </w:r>
      <w:r>
        <w:t>、</w:t>
      </w:r>
      <w:r>
        <w:t>O</w:t>
      </w:r>
      <w:r>
        <w:rPr>
          <w:vertAlign w:val="subscript"/>
        </w:rPr>
        <w:t>3</w:t>
      </w:r>
      <w:r>
        <w:t>、</w:t>
      </w:r>
      <w:r>
        <w:t>CO</w:t>
      </w:r>
      <w:r>
        <w:t>三因子的检测性能能够满足实际监测要求，在道路交通监测等领域中有广泛的应用前景。</w:t>
      </w:r>
      <w:r>
        <w:t>GAO</w:t>
      </w:r>
      <w:r>
        <w:t>等（</w:t>
      </w:r>
      <w:r>
        <w:t>GAO M L, et al, 2015</w:t>
      </w:r>
      <w:r>
        <w:t>）应用一种由低成本颗粒物传感器组成的检测仪器</w:t>
      </w:r>
      <w:r>
        <w:t>Portable University of Washington Particle</w:t>
      </w:r>
      <w:r>
        <w:t>（</w:t>
      </w:r>
      <w:r>
        <w:t>PUWP</w:t>
      </w:r>
      <w:r>
        <w:t>），作为补充监测网络，对西安市内住宅、商业区、政府和学术领域等</w:t>
      </w:r>
      <w:r>
        <w:t>7</w:t>
      </w:r>
      <w:r>
        <w:t>个地点颗粒物的时空变化进行研究。为探讨传感技术在环境空气监测中的方法适用性，车祥等人（车祥，</w:t>
      </w:r>
      <w:r>
        <w:t>2019</w:t>
      </w:r>
      <w:r>
        <w:t>）采用某品牌</w:t>
      </w:r>
      <w:r>
        <w:t>3</w:t>
      </w:r>
      <w:r>
        <w:t>台传感器，对上海市环境空气中气态污染物（</w:t>
      </w:r>
      <w:r>
        <w:t>NO</w:t>
      </w:r>
      <w:r>
        <w:rPr>
          <w:vertAlign w:val="subscript"/>
        </w:rPr>
        <w:t>2</w:t>
      </w:r>
      <w:r>
        <w:t>、</w:t>
      </w:r>
      <w:r>
        <w:t>SO</w:t>
      </w:r>
      <w:r>
        <w:rPr>
          <w:vertAlign w:val="subscript"/>
        </w:rPr>
        <w:t>2</w:t>
      </w:r>
      <w:r>
        <w:t>、</w:t>
      </w:r>
      <w:r>
        <w:lastRenderedPageBreak/>
        <w:t>O</w:t>
      </w:r>
      <w:r>
        <w:rPr>
          <w:vertAlign w:val="subscript"/>
        </w:rPr>
        <w:t>3</w:t>
      </w:r>
      <w:r>
        <w:t>、</w:t>
      </w:r>
      <w:r>
        <w:t>CO</w:t>
      </w:r>
      <w:r>
        <w:t>）和颗粒物（</w:t>
      </w:r>
      <w:r>
        <w:t>PM</w:t>
      </w:r>
      <w:r>
        <w:rPr>
          <w:vertAlign w:val="subscript"/>
        </w:rPr>
        <w:t>10</w:t>
      </w:r>
      <w:r>
        <w:t>、</w:t>
      </w:r>
      <w:r>
        <w:t>PM</w:t>
      </w:r>
      <w:r>
        <w:rPr>
          <w:vertAlign w:val="subscript"/>
        </w:rPr>
        <w:t>2.5</w:t>
      </w:r>
      <w:r>
        <w:t>）进行了为期</w:t>
      </w:r>
      <w:r>
        <w:t>1</w:t>
      </w:r>
      <w:r>
        <w:t>个月的连续监测，对各仪器的数据作比对，并与同时段</w:t>
      </w:r>
      <w:proofErr w:type="gramStart"/>
      <w:r>
        <w:t>临近国控</w:t>
      </w:r>
      <w:proofErr w:type="gramEnd"/>
      <w:r>
        <w:t>点的监测数据作比对，考察传感器数据的一致性和准确性，结果表明，传感器</w:t>
      </w:r>
      <w:r>
        <w:t>PM</w:t>
      </w:r>
      <w:r>
        <w:rPr>
          <w:vertAlign w:val="subscript"/>
        </w:rPr>
        <w:t>2.5</w:t>
      </w:r>
      <w:r>
        <w:t>监测效果较理想，监测的颗粒物与</w:t>
      </w:r>
      <w:proofErr w:type="gramStart"/>
      <w:r>
        <w:t>国控点数据</w:t>
      </w:r>
      <w:proofErr w:type="gramEnd"/>
      <w:r>
        <w:t>显著相关且质量浓度水平接近，</w:t>
      </w:r>
      <w:r>
        <w:t>pearson</w:t>
      </w:r>
      <w:r>
        <w:t>相关系数＞</w:t>
      </w:r>
      <w:r>
        <w:t>0.9</w:t>
      </w:r>
      <w:r>
        <w:t>（</w:t>
      </w:r>
      <w:r>
        <w:rPr>
          <w:i/>
          <w:iCs/>
        </w:rPr>
        <w:t>p</w:t>
      </w:r>
      <w:r>
        <w:t>＜</w:t>
      </w:r>
      <w:r>
        <w:t>0.01</w:t>
      </w:r>
      <w:r>
        <w:t>），具有良好的应用价值和前景；而传感器气态污染物的测定值与</w:t>
      </w:r>
      <w:proofErr w:type="gramStart"/>
      <w:r>
        <w:t>国控点数据</w:t>
      </w:r>
      <w:proofErr w:type="gramEnd"/>
      <w:r>
        <w:t>之间存在差异，电化学原理气态污染物传感器的性能仍有待提升。</w:t>
      </w:r>
    </w:p>
    <w:p w:rsidR="002210DD" w:rsidRDefault="00A205B8">
      <w:pPr>
        <w:ind w:firstLine="480"/>
      </w:pPr>
      <w:r>
        <w:t>部分学者对如何提升电化学传感器监测数据的质量进行了探索。由于电化学气体传感器存在温度漂移和交叉灵敏度问题，代</w:t>
      </w:r>
      <w:proofErr w:type="gramStart"/>
      <w:r>
        <w:t>啟</w:t>
      </w:r>
      <w:proofErr w:type="gramEnd"/>
      <w:r>
        <w:t>林等人（代</w:t>
      </w:r>
      <w:proofErr w:type="gramStart"/>
      <w:r>
        <w:t>啟</w:t>
      </w:r>
      <w:proofErr w:type="gramEnd"/>
      <w:r>
        <w:t>林，</w:t>
      </w:r>
      <w:r>
        <w:t>2016</w:t>
      </w:r>
      <w:r>
        <w:t>）基于</w:t>
      </w:r>
      <w:r>
        <w:t>SF</w:t>
      </w:r>
      <w:r>
        <w:rPr>
          <w:vertAlign w:val="subscript"/>
        </w:rPr>
        <w:t>6</w:t>
      </w:r>
      <w:r>
        <w:t>气体质量综合分析仪，利用线性神经网络学习思想，设计了多传感器数据融合算法，利用</w:t>
      </w:r>
      <w:r>
        <w:t>CO</w:t>
      </w:r>
      <w:r>
        <w:t>和</w:t>
      </w:r>
      <w:r>
        <w:t>H</w:t>
      </w:r>
      <w:r>
        <w:rPr>
          <w:vertAlign w:val="subscript"/>
        </w:rPr>
        <w:t>2</w:t>
      </w:r>
      <w:r>
        <w:t>S</w:t>
      </w:r>
      <w:r>
        <w:t>混合气气体检测，实验证明，该算法对电化学气态传感器多传感器数据融合和温度补偿具有较好的效果。袁枫等（袁枫，</w:t>
      </w:r>
      <w:r>
        <w:t>2019</w:t>
      </w:r>
      <w:r>
        <w:t>）针对零点电流、环境温湿度对</w:t>
      </w:r>
      <w:r>
        <w:t>NO</w:t>
      </w:r>
      <w:r>
        <w:rPr>
          <w:vertAlign w:val="subscript"/>
        </w:rPr>
        <w:t>2</w:t>
      </w:r>
      <w:r>
        <w:t>电化学传感器工作产生很大干扰的问题，建立了</w:t>
      </w:r>
      <w:r>
        <w:t>NO</w:t>
      </w:r>
      <w:r>
        <w:rPr>
          <w:vertAlign w:val="subscript"/>
        </w:rPr>
        <w:t>2</w:t>
      </w:r>
      <w:r>
        <w:t>传感器测量数据校正方法来补偿环境因素对大气</w:t>
      </w:r>
      <w:r>
        <w:t>NO</w:t>
      </w:r>
      <w:r>
        <w:rPr>
          <w:vertAlign w:val="subscript"/>
        </w:rPr>
        <w:t>2</w:t>
      </w:r>
      <w:r>
        <w:t>测量结果的影响；为验证校正方法可行性，利用四电极</w:t>
      </w:r>
      <w:r>
        <w:t>NO</w:t>
      </w:r>
      <w:r>
        <w:rPr>
          <w:vertAlign w:val="subscript"/>
        </w:rPr>
        <w:t>2</w:t>
      </w:r>
      <w:r>
        <w:t>电化学传感器系统对大气</w:t>
      </w:r>
      <w:r>
        <w:t>NO</w:t>
      </w:r>
      <w:r>
        <w:rPr>
          <w:vertAlign w:val="subscript"/>
        </w:rPr>
        <w:t>2</w:t>
      </w:r>
      <w:r>
        <w:t>进行了连续</w:t>
      </w:r>
      <w:r>
        <w:t>72h</w:t>
      </w:r>
      <w:r>
        <w:t>观测，并与</w:t>
      </w:r>
      <w:proofErr w:type="gramStart"/>
      <w:r>
        <w:t>同位置</w:t>
      </w:r>
      <w:proofErr w:type="gramEnd"/>
      <w:r>
        <w:t>蓝色激光光源</w:t>
      </w:r>
      <w:r>
        <w:t>CRDS</w:t>
      </w:r>
      <w:r>
        <w:t>系统的测量结果进行了比对，发现未经温湿度补偿的系统数据与</w:t>
      </w:r>
      <w:r>
        <w:t>CRDS</w:t>
      </w:r>
      <w:r>
        <w:t>数据相关性</w:t>
      </w:r>
      <w:r>
        <w:rPr>
          <w:i/>
          <w:iCs/>
        </w:rPr>
        <w:t>R</w:t>
      </w:r>
      <w:r>
        <w:rPr>
          <w:i/>
          <w:iCs/>
          <w:vertAlign w:val="superscript"/>
        </w:rPr>
        <w:t>2</w:t>
      </w:r>
      <w:r>
        <w:t>为</w:t>
      </w:r>
      <w:r>
        <w:t>0.80</w:t>
      </w:r>
      <w:r>
        <w:t>，经补偿后的数据与</w:t>
      </w:r>
      <w:r>
        <w:t>CRDS</w:t>
      </w:r>
      <w:r>
        <w:t>的相关性提高到</w:t>
      </w:r>
      <w:r>
        <w:t>0.95</w:t>
      </w:r>
      <w:r>
        <w:t>；结果表明，该方法可有效补偿不还价因素对电化学传感器测量大气</w:t>
      </w:r>
      <w:r>
        <w:t>NO</w:t>
      </w:r>
      <w:r>
        <w:rPr>
          <w:vertAlign w:val="subscript"/>
        </w:rPr>
        <w:t>2</w:t>
      </w:r>
      <w:r>
        <w:t>影响。</w:t>
      </w:r>
    </w:p>
    <w:p w:rsidR="002210DD" w:rsidRDefault="00A205B8">
      <w:pPr>
        <w:pStyle w:val="2"/>
        <w:rPr>
          <w:rFonts w:ascii="Times New Roman" w:hAnsi="Times New Roman"/>
        </w:rPr>
      </w:pPr>
      <w:r>
        <w:rPr>
          <w:rFonts w:ascii="Times New Roman" w:hAnsi="Times New Roman"/>
        </w:rPr>
        <w:t>相关应用</w:t>
      </w:r>
    </w:p>
    <w:p w:rsidR="002210DD" w:rsidRDefault="00A205B8">
      <w:pPr>
        <w:pStyle w:val="10"/>
        <w:ind w:firstLine="482"/>
      </w:pPr>
      <w:r>
        <w:t>（</w:t>
      </w:r>
      <w:r>
        <w:t>1</w:t>
      </w:r>
      <w:r>
        <w:t>）国外</w:t>
      </w:r>
    </w:p>
    <w:p w:rsidR="002210DD" w:rsidRDefault="00A205B8">
      <w:pPr>
        <w:ind w:firstLine="480"/>
      </w:pPr>
      <w:r>
        <w:t>传感器技术在环境空气质量监测中的应用。受污染源的局地排放和污染物的区域传输等影响，环境空气污染物往往能够在相对较小的时间、空间尺度上快速变化，针对复杂的污染情况，大量部署低成本传感器可实现高时空分辨率监测，对区域环境空气质量进行有效监测。根据不同监测目的，传感器可适用于不同应用场景，目前基于传感器方法的空气质量监测已在欧美多个城市得到小规模应用。</w:t>
      </w:r>
    </w:p>
    <w:p w:rsidR="002210DD" w:rsidRDefault="00A205B8">
      <w:pPr>
        <w:ind w:firstLine="480"/>
      </w:pPr>
      <w:r>
        <w:t>现阶段，低成本空气传感器在美国应用于非管制性空气质量监测，应用场景主要可以归纳为四类，分别为：（</w:t>
      </w:r>
      <w:r>
        <w:t>1</w:t>
      </w:r>
      <w:r>
        <w:t>）教育和信息服务。将监测传感器作为教学仪器。（</w:t>
      </w:r>
      <w:r>
        <w:t>2</w:t>
      </w:r>
      <w:r>
        <w:t>）排放热点确认和排放源分类。通常通过固定</w:t>
      </w:r>
      <w:proofErr w:type="gramStart"/>
      <w:r>
        <w:t>监测微站或</w:t>
      </w:r>
      <w:proofErr w:type="gramEnd"/>
      <w:r>
        <w:t>移动监测系</w:t>
      </w:r>
      <w:r>
        <w:lastRenderedPageBreak/>
        <w:t>统绘制污染地图及确认污染源位置。（</w:t>
      </w:r>
      <w:r>
        <w:t>3</w:t>
      </w:r>
      <w:r>
        <w:t>）补充监测网络。通常也被称为</w:t>
      </w:r>
      <w:r>
        <w:t>“</w:t>
      </w:r>
      <w:r>
        <w:t>探索式监测</w:t>
      </w:r>
      <w:r>
        <w:t>”</w:t>
      </w:r>
      <w:r>
        <w:t>，是指利用传感器对现有的空气质量监测网络进行补充，在传统监测站之外利用大量相对低价的设备来填补空间上的空白，这类额外的设备可以根据监测的不同目的安装在固定位置或是移动平台上。（</w:t>
      </w:r>
      <w:r>
        <w:t>4</w:t>
      </w:r>
      <w:r>
        <w:t>）人体健康监测。主要对人体受空气污染的健康影响进行评估。</w:t>
      </w:r>
    </w:p>
    <w:p w:rsidR="002210DD" w:rsidRDefault="00A205B8">
      <w:pPr>
        <w:ind w:firstLine="480"/>
      </w:pPr>
      <w:r>
        <w:t>固定型监测可以起到网格化布点的作用，</w:t>
      </w:r>
      <w:r>
        <w:t>SCHNEIDER</w:t>
      </w:r>
      <w:r>
        <w:t>等（</w:t>
      </w:r>
      <w:r>
        <w:t>SCHNEIDER P</w:t>
      </w:r>
      <w:r>
        <w:t>，</w:t>
      </w:r>
      <w:r>
        <w:t xml:space="preserve"> et al</w:t>
      </w:r>
      <w:r>
        <w:t>，</w:t>
      </w:r>
      <w:r>
        <w:t xml:space="preserve"> 2017</w:t>
      </w:r>
      <w:r>
        <w:t>）基于地质统计学的</w:t>
      </w:r>
      <w:r>
        <w:t>“</w:t>
      </w:r>
      <w:r>
        <w:t>数据融合</w:t>
      </w:r>
      <w:r>
        <w:t>”</w:t>
      </w:r>
      <w:r>
        <w:t>方法，将低成本传感器网络的空气质量观测与城市空气质量模型的空间信息相结合，绘制了城市空气质量地图，该方法应用于挪威奥斯陆的</w:t>
      </w:r>
      <w:r>
        <w:t>NO</w:t>
      </w:r>
      <w:r>
        <w:rPr>
          <w:vertAlign w:val="subscript"/>
        </w:rPr>
        <w:t>2</w:t>
      </w:r>
      <w:r>
        <w:t>评估中，能够再现典型的</w:t>
      </w:r>
      <w:r>
        <w:t>NO</w:t>
      </w:r>
      <w:r>
        <w:rPr>
          <w:vertAlign w:val="subscript"/>
        </w:rPr>
        <w:t>2</w:t>
      </w:r>
      <w:r>
        <w:t>日常循环规律。</w:t>
      </w:r>
    </w:p>
    <w:p w:rsidR="002210DD" w:rsidRDefault="00A205B8">
      <w:pPr>
        <w:ind w:firstLine="480"/>
      </w:pPr>
      <w:r>
        <w:t>美国的绿色村庄项目。美国环保署的绿色村庄项目是为了开发一种自动供电、</w:t>
      </w:r>
      <w:proofErr w:type="gramStart"/>
      <w:r>
        <w:t>低维护</w:t>
      </w:r>
      <w:proofErr w:type="gramEnd"/>
      <w:r>
        <w:t>的监测系统，以测量北卡罗来纳州达勒</w:t>
      </w:r>
      <w:proofErr w:type="gramStart"/>
      <w:r>
        <w:t>姆</w:t>
      </w:r>
      <w:proofErr w:type="gramEnd"/>
      <w:r>
        <w:t>的空气质量而启动。该项目是一个社区研究和教育项目，目标是向公众和社区提供以前没有的有关当地空气质量的信息，并让社区人员提高空气污染意识。该绿色村庄站的组成部分主要是由再生材料制成的公园长椅结构，包括用于测量两种常见空气污染物（</w:t>
      </w:r>
      <w:r>
        <w:t>PM</w:t>
      </w:r>
      <w:r>
        <w:rPr>
          <w:vertAlign w:val="subscript"/>
        </w:rPr>
        <w:t>2.5</w:t>
      </w:r>
      <w:r>
        <w:t>和</w:t>
      </w:r>
      <w:r>
        <w:t>O</w:t>
      </w:r>
      <w:r>
        <w:rPr>
          <w:vertAlign w:val="subscript"/>
        </w:rPr>
        <w:t>3</w:t>
      </w:r>
      <w:r>
        <w:t>）和气象条件（如风速，温度和湿度）的精密仪器。获得的数据可以经过网络的方式实时的流式传输，更新时间为每分钟一次。用户可以在线或通过智能手机访问数据。数据通过蜂窝调制解调器从绿色村庄站无线传输，然后质量检查，最终发布到网站。</w:t>
      </w:r>
    </w:p>
    <w:p w:rsidR="002210DD" w:rsidRDefault="00A205B8">
      <w:pPr>
        <w:ind w:firstLine="480"/>
      </w:pPr>
      <w:r>
        <w:t>Aclima</w:t>
      </w:r>
      <w:r>
        <w:t>和谷歌用街景车辆绘制室外空气质量地图。</w:t>
      </w:r>
      <w:r>
        <w:t>Aclima</w:t>
      </w:r>
      <w:r>
        <w:t>是一家位于三藩的公司，设计和部署环境传感器网络，</w:t>
      </w:r>
      <w:r>
        <w:t>2015</w:t>
      </w:r>
      <w:r>
        <w:t>年</w:t>
      </w:r>
      <w:r>
        <w:t>7</w:t>
      </w:r>
      <w:r>
        <w:t>月</w:t>
      </w:r>
      <w:r>
        <w:t>28</w:t>
      </w:r>
      <w:r>
        <w:t>日宣布与谷歌地图建立新的合作伙伴关系，他们这次合作主要是：用街景车辆绘制室外空气质量地图，以便更好地了解城市空气质量。通过为街景车配备</w:t>
      </w:r>
      <w:r>
        <w:t>Aclima</w:t>
      </w:r>
      <w:r>
        <w:t>的移动感应平台，以前所未有的方式观看周围的空气，从而实现人们对环保意识的转变。三个街道视图汽车测量了可能影响人类健康或气候变化的空气污染物，如二氧化碳、一氧化氮、臭氧等。</w:t>
      </w:r>
    </w:p>
    <w:p w:rsidR="002210DD" w:rsidRDefault="00A205B8">
      <w:pPr>
        <w:ind w:firstLine="480"/>
      </w:pPr>
      <w:r>
        <w:t>2014</w:t>
      </w:r>
      <w:r>
        <w:t>年</w:t>
      </w:r>
      <w:r>
        <w:t>8</w:t>
      </w:r>
      <w:r>
        <w:t>月，</w:t>
      </w:r>
      <w:r>
        <w:t>Aclima</w:t>
      </w:r>
      <w:r>
        <w:t>的科学家和工程师团队在美国航空航天局和美国环保署进行的</w:t>
      </w:r>
      <w:r>
        <w:t>DISCOVER-AQ</w:t>
      </w:r>
      <w:r>
        <w:t>研究期间，装备了三台</w:t>
      </w:r>
      <w:r>
        <w:t xml:space="preserve">Google Street View </w:t>
      </w:r>
      <w:r>
        <w:t>汽车在丹佛都会区进行了为期一个月的系统测试。美国环保署通过提供科学专业知识和指导，作为与</w:t>
      </w:r>
      <w:r>
        <w:t>Aclima</w:t>
      </w:r>
      <w:r>
        <w:t>的合作研究与开发协议的一部分，帮助确保高质量的数据和系统</w:t>
      </w:r>
      <w:r>
        <w:lastRenderedPageBreak/>
        <w:t>性能。</w:t>
      </w:r>
      <w:r>
        <w:t>Aclima</w:t>
      </w:r>
      <w:r>
        <w:t>的团队可以观察环境数据被处理和从汽车到定制的可视化工具及地图的流向的全过程。测试验证了</w:t>
      </w:r>
      <w:r>
        <w:t>Aclima</w:t>
      </w:r>
      <w:r>
        <w:t>的方法和研究方法，展示了移动传感的有效性。</w:t>
      </w:r>
    </w:p>
    <w:p w:rsidR="002210DD" w:rsidRDefault="00A205B8">
      <w:pPr>
        <w:pStyle w:val="10"/>
        <w:ind w:firstLine="482"/>
      </w:pPr>
      <w:r>
        <w:t>（</w:t>
      </w:r>
      <w:r>
        <w:t>2</w:t>
      </w:r>
      <w:r>
        <w:t>）国内</w:t>
      </w:r>
    </w:p>
    <w:p w:rsidR="002210DD" w:rsidRDefault="00A205B8">
      <w:pPr>
        <w:ind w:firstLine="480"/>
      </w:pPr>
      <w:r>
        <w:t>国内气体传感器在应用领域上经历了从工业气体的监测到环境气体监测的过程。同时，气体传感器应用经历了从单个传感器的使用，到</w:t>
      </w:r>
      <w:proofErr w:type="gramStart"/>
      <w:r>
        <w:t>阵列化模组</w:t>
      </w:r>
      <w:proofErr w:type="gramEnd"/>
      <w:r>
        <w:t>的使用，到基于物联网的智能器件的使用。目前，气体传感器主要应用领域为：</w:t>
      </w:r>
      <w:r>
        <w:t>①</w:t>
      </w:r>
      <w:r>
        <w:t>室外环境污染物监测，主要检测氮氧化物、二氧化硫、硫化氢等气体，主要采用电化学型气体传感器；</w:t>
      </w:r>
      <w:r>
        <w:t>②</w:t>
      </w:r>
      <w:r>
        <w:t>室内环境污染物监测，主要监测气体挥发性有机物（甲醛、苯等），主要采用半导体气体传感器；</w:t>
      </w:r>
      <w:r>
        <w:t>③</w:t>
      </w:r>
      <w:r>
        <w:t>密闭环境气体监测，例如军事领域中潜艇、航天领域中航天器舱内环境的监测，主要监测氧气、二氧化碳、氮氧化物等，主要采用半导体气体传感器与红外光谱气体传感器；</w:t>
      </w:r>
      <w:r>
        <w:t>④</w:t>
      </w:r>
      <w:r>
        <w:t>易燃易爆气体的监测，如：矿井坑道中对于甲烷气体的监测；新型氢能源领域（氢能源站、氢动力汽车等）对于氢气的监测。在该应用方向中，主要采用催化燃烧式气体传感器，该传感器具有选择性好，灵敏度高、响应迅速的特点。</w:t>
      </w:r>
    </w:p>
    <w:p w:rsidR="002210DD" w:rsidRDefault="00A205B8">
      <w:pPr>
        <w:ind w:firstLine="480"/>
        <w:rPr>
          <w:color w:val="191919"/>
          <w:szCs w:val="24"/>
          <w:shd w:val="clear" w:color="auto" w:fill="FFFFFF"/>
        </w:rPr>
      </w:pPr>
      <w:r>
        <w:rPr>
          <w:color w:val="191919"/>
          <w:szCs w:val="24"/>
          <w:shd w:val="clear" w:color="auto" w:fill="FFFFFF"/>
        </w:rPr>
        <w:t>近年内，传感器网络的建立在国内得到迅猛发展，国内多个城市陆续开展了网格化空气质量环境监管工作，如北京、天津、深圳、上海、贵阳及河北省石家庄、保定、沧州、唐山、廊坊等市。仅</w:t>
      </w:r>
      <w:r>
        <w:rPr>
          <w:color w:val="191919"/>
          <w:szCs w:val="24"/>
          <w:shd w:val="clear" w:color="auto" w:fill="FFFFFF"/>
        </w:rPr>
        <w:t>2015-2016</w:t>
      </w:r>
      <w:r>
        <w:rPr>
          <w:color w:val="191919"/>
          <w:szCs w:val="24"/>
          <w:shd w:val="clear" w:color="auto" w:fill="FFFFFF"/>
        </w:rPr>
        <w:t>年，空气传感器在全国的使用台数达到</w:t>
      </w:r>
      <w:r>
        <w:rPr>
          <w:color w:val="191919"/>
          <w:szCs w:val="24"/>
          <w:shd w:val="clear" w:color="auto" w:fill="FFFFFF"/>
        </w:rPr>
        <w:t>6000~7000</w:t>
      </w:r>
      <w:r>
        <w:rPr>
          <w:color w:val="191919"/>
          <w:szCs w:val="24"/>
          <w:shd w:val="clear" w:color="auto" w:fill="FFFFFF"/>
        </w:rPr>
        <w:t>个。</w:t>
      </w:r>
    </w:p>
    <w:p w:rsidR="002210DD" w:rsidRDefault="00A205B8">
      <w:pPr>
        <w:ind w:firstLine="480"/>
        <w:rPr>
          <w:color w:val="191919"/>
          <w:szCs w:val="24"/>
          <w:shd w:val="clear" w:color="auto" w:fill="FFFFFF"/>
        </w:rPr>
      </w:pPr>
      <w:r>
        <w:rPr>
          <w:color w:val="191919"/>
          <w:szCs w:val="24"/>
          <w:shd w:val="clear" w:color="auto" w:fill="FFFFFF"/>
        </w:rPr>
        <w:t>北京市自</w:t>
      </w:r>
      <w:r>
        <w:rPr>
          <w:color w:val="191919"/>
          <w:szCs w:val="24"/>
          <w:shd w:val="clear" w:color="auto" w:fill="FFFFFF"/>
        </w:rPr>
        <w:t>2015</w:t>
      </w:r>
      <w:r>
        <w:rPr>
          <w:color w:val="191919"/>
          <w:szCs w:val="24"/>
          <w:shd w:val="clear" w:color="auto" w:fill="FFFFFF"/>
        </w:rPr>
        <w:t>年底建设基于小型颗粒物传感器的高密度监测子网，作为全市空气质量监测体系的有机组成部分，同步建设、双向质控、综合应用。该</w:t>
      </w:r>
      <w:proofErr w:type="gramStart"/>
      <w:r>
        <w:rPr>
          <w:color w:val="191919"/>
          <w:szCs w:val="24"/>
          <w:shd w:val="clear" w:color="auto" w:fill="FFFFFF"/>
        </w:rPr>
        <w:t>子网络</w:t>
      </w:r>
      <w:proofErr w:type="gramEnd"/>
      <w:r>
        <w:rPr>
          <w:color w:val="191919"/>
          <w:szCs w:val="24"/>
          <w:shd w:val="clear" w:color="auto" w:fill="FFFFFF"/>
        </w:rPr>
        <w:t>以平原地区</w:t>
      </w:r>
      <w:r>
        <w:rPr>
          <w:color w:val="191919"/>
          <w:szCs w:val="24"/>
          <w:shd w:val="clear" w:color="auto" w:fill="FFFFFF"/>
        </w:rPr>
        <w:t>3×3</w:t>
      </w:r>
      <w:r>
        <w:rPr>
          <w:color w:val="191919"/>
          <w:szCs w:val="24"/>
          <w:shd w:val="clear" w:color="auto" w:fill="FFFFFF"/>
        </w:rPr>
        <w:t>公里网格、山区</w:t>
      </w:r>
      <w:r>
        <w:rPr>
          <w:color w:val="191919"/>
          <w:szCs w:val="24"/>
          <w:shd w:val="clear" w:color="auto" w:fill="FFFFFF"/>
        </w:rPr>
        <w:t>8×8</w:t>
      </w:r>
      <w:r>
        <w:rPr>
          <w:color w:val="191919"/>
          <w:szCs w:val="24"/>
          <w:shd w:val="clear" w:color="auto" w:fill="FFFFFF"/>
        </w:rPr>
        <w:t>公里网格、重点地区加密的形式布设，由小型化颗粒物智能监测终端、物联网传输系统、</w:t>
      </w:r>
      <w:proofErr w:type="gramStart"/>
      <w:r>
        <w:rPr>
          <w:color w:val="191919"/>
          <w:szCs w:val="24"/>
          <w:shd w:val="clear" w:color="auto" w:fill="FFFFFF"/>
        </w:rPr>
        <w:t>数质转换</w:t>
      </w:r>
      <w:proofErr w:type="gramEnd"/>
      <w:r>
        <w:rPr>
          <w:color w:val="191919"/>
          <w:szCs w:val="24"/>
          <w:shd w:val="clear" w:color="auto" w:fill="FFFFFF"/>
        </w:rPr>
        <w:t>模型、认知</w:t>
      </w:r>
      <w:proofErr w:type="gramStart"/>
      <w:r>
        <w:rPr>
          <w:color w:val="191919"/>
          <w:szCs w:val="24"/>
          <w:shd w:val="clear" w:color="auto" w:fill="FFFFFF"/>
        </w:rPr>
        <w:t>计算云质控</w:t>
      </w:r>
      <w:proofErr w:type="gramEnd"/>
      <w:r>
        <w:rPr>
          <w:color w:val="191919"/>
          <w:szCs w:val="24"/>
          <w:shd w:val="clear" w:color="auto" w:fill="FFFFFF"/>
        </w:rPr>
        <w:t>系统等组成。目前，网络已完成上千</w:t>
      </w:r>
      <w:proofErr w:type="gramStart"/>
      <w:r>
        <w:rPr>
          <w:color w:val="191919"/>
          <w:szCs w:val="24"/>
          <w:shd w:val="clear" w:color="auto" w:fill="FFFFFF"/>
        </w:rPr>
        <w:t>个</w:t>
      </w:r>
      <w:proofErr w:type="gramEnd"/>
      <w:r>
        <w:rPr>
          <w:color w:val="191919"/>
          <w:szCs w:val="24"/>
          <w:shd w:val="clear" w:color="auto" w:fill="FFFFFF"/>
        </w:rPr>
        <w:t>点位的布设，监测数据质量可控，并尝试开发了街乡镇级别空气质量报表、高污染区识别等功能，为城市环境精细化管理提供技术支持。</w:t>
      </w:r>
    </w:p>
    <w:p w:rsidR="002210DD" w:rsidRDefault="00A205B8">
      <w:pPr>
        <w:ind w:firstLine="480"/>
        <w:rPr>
          <w:color w:val="191919"/>
          <w:szCs w:val="24"/>
          <w:shd w:val="clear" w:color="auto" w:fill="FFFFFF"/>
        </w:rPr>
      </w:pPr>
      <w:r>
        <w:rPr>
          <w:color w:val="191919"/>
          <w:szCs w:val="24"/>
          <w:shd w:val="clear" w:color="auto" w:fill="FFFFFF"/>
        </w:rPr>
        <w:t>贵阳市在乌当区试点运行网格化生态环保大数据监测系统，其内部有</w:t>
      </w:r>
      <w:r>
        <w:rPr>
          <w:color w:val="191919"/>
          <w:szCs w:val="24"/>
          <w:shd w:val="clear" w:color="auto" w:fill="FFFFFF"/>
        </w:rPr>
        <w:t>7</w:t>
      </w:r>
      <w:r>
        <w:rPr>
          <w:color w:val="191919"/>
          <w:szCs w:val="24"/>
          <w:shd w:val="clear" w:color="auto" w:fill="FFFFFF"/>
        </w:rPr>
        <w:t>个传感器同时在工作，对当地的噪声、</w:t>
      </w:r>
      <w:r>
        <w:rPr>
          <w:color w:val="191919"/>
          <w:szCs w:val="24"/>
          <w:shd w:val="clear" w:color="auto" w:fill="FFFFFF"/>
        </w:rPr>
        <w:t>PM</w:t>
      </w:r>
      <w:r>
        <w:rPr>
          <w:color w:val="191919"/>
          <w:szCs w:val="24"/>
          <w:shd w:val="clear" w:color="auto" w:fill="FFFFFF"/>
          <w:vertAlign w:val="subscript"/>
        </w:rPr>
        <w:t>2.5</w:t>
      </w:r>
      <w:r>
        <w:rPr>
          <w:color w:val="191919"/>
          <w:szCs w:val="24"/>
          <w:shd w:val="clear" w:color="auto" w:fill="FFFFFF"/>
        </w:rPr>
        <w:t>、</w:t>
      </w:r>
      <w:r>
        <w:rPr>
          <w:color w:val="191919"/>
          <w:szCs w:val="24"/>
          <w:shd w:val="clear" w:color="auto" w:fill="FFFFFF"/>
        </w:rPr>
        <w:t>PM</w:t>
      </w:r>
      <w:r>
        <w:rPr>
          <w:color w:val="191919"/>
          <w:szCs w:val="24"/>
          <w:shd w:val="clear" w:color="auto" w:fill="FFFFFF"/>
          <w:vertAlign w:val="subscript"/>
        </w:rPr>
        <w:t>10</w:t>
      </w:r>
      <w:r>
        <w:rPr>
          <w:color w:val="191919"/>
          <w:szCs w:val="24"/>
          <w:shd w:val="clear" w:color="auto" w:fill="FFFFFF"/>
        </w:rPr>
        <w:t>、臭氧、二氧化硫、一氧化碳等多项指标进行监测，形成点多面广的生态环保大数据应用体系。所有已安装的</w:t>
      </w:r>
      <w:r>
        <w:rPr>
          <w:color w:val="191919"/>
          <w:szCs w:val="24"/>
          <w:shd w:val="clear" w:color="auto" w:fill="FFFFFF"/>
        </w:rPr>
        <w:t>250</w:t>
      </w:r>
      <w:r>
        <w:rPr>
          <w:color w:val="191919"/>
          <w:szCs w:val="24"/>
          <w:shd w:val="clear" w:color="auto" w:fill="FFFFFF"/>
        </w:rPr>
        <w:lastRenderedPageBreak/>
        <w:t>个大气监测点位都实现实时监测、在线传输、数据比对、网格化分析等功能，一旦有异常情况，会通过无线电传输到数据总控制室，监控人员可通过大数据库的分析计算，第一时间圈定污染源所在网格，由总控室的工作人员通知当地管理人员进行处置。</w:t>
      </w:r>
    </w:p>
    <w:p w:rsidR="002210DD" w:rsidRDefault="00A205B8">
      <w:pPr>
        <w:ind w:firstLine="480"/>
      </w:pPr>
      <w:r>
        <w:t>在长三角区域传感器法监测技术也得到了广泛的应用。如</w:t>
      </w:r>
      <w:r>
        <w:rPr>
          <w:color w:val="191919"/>
          <w:szCs w:val="24"/>
          <w:shd w:val="clear" w:color="auto" w:fill="FFFFFF"/>
        </w:rPr>
        <w:t>上海市的扬尘在线监测系统，</w:t>
      </w:r>
      <w:r>
        <w:rPr>
          <w:color w:val="191919"/>
          <w:szCs w:val="24"/>
          <w:shd w:val="clear" w:color="auto" w:fill="FFFFFF"/>
        </w:rPr>
        <w:t>2015</w:t>
      </w:r>
      <w:r>
        <w:rPr>
          <w:color w:val="191919"/>
          <w:szCs w:val="24"/>
          <w:shd w:val="clear" w:color="auto" w:fill="FFFFFF"/>
        </w:rPr>
        <w:t>年开始建设，</w:t>
      </w:r>
      <w:r>
        <w:rPr>
          <w:color w:val="191919"/>
          <w:szCs w:val="24"/>
          <w:shd w:val="clear" w:color="auto" w:fill="FFFFFF"/>
        </w:rPr>
        <w:t>2018</w:t>
      </w:r>
      <w:r>
        <w:rPr>
          <w:color w:val="191919"/>
          <w:szCs w:val="24"/>
          <w:shd w:val="clear" w:color="auto" w:fill="FFFFFF"/>
        </w:rPr>
        <w:t>年升级改造，目前有</w:t>
      </w:r>
      <w:r>
        <w:rPr>
          <w:color w:val="191919"/>
          <w:szCs w:val="24"/>
          <w:shd w:val="clear" w:color="auto" w:fill="FFFFFF"/>
        </w:rPr>
        <w:t>3000</w:t>
      </w:r>
      <w:r>
        <w:rPr>
          <w:color w:val="191919"/>
          <w:szCs w:val="24"/>
          <w:shd w:val="clear" w:color="auto" w:fill="FFFFFF"/>
        </w:rPr>
        <w:t>多个固定监测点，</w:t>
      </w:r>
      <w:r>
        <w:rPr>
          <w:color w:val="191919"/>
          <w:szCs w:val="24"/>
          <w:shd w:val="clear" w:color="auto" w:fill="FFFFFF"/>
        </w:rPr>
        <w:t>100</w:t>
      </w:r>
      <w:r>
        <w:rPr>
          <w:color w:val="191919"/>
          <w:szCs w:val="24"/>
          <w:shd w:val="clear" w:color="auto" w:fill="FFFFFF"/>
        </w:rPr>
        <w:t>多辆公交车、出租车移动监测点，</w:t>
      </w:r>
      <w:r>
        <w:rPr>
          <w:color w:val="191919"/>
          <w:szCs w:val="24"/>
          <w:shd w:val="clear" w:color="auto" w:fill="FFFFFF"/>
        </w:rPr>
        <w:t>“</w:t>
      </w:r>
      <w:r>
        <w:rPr>
          <w:color w:val="191919"/>
          <w:szCs w:val="24"/>
          <w:shd w:val="clear" w:color="auto" w:fill="FFFFFF"/>
        </w:rPr>
        <w:t>动静结合</w:t>
      </w:r>
      <w:r>
        <w:rPr>
          <w:color w:val="191919"/>
          <w:szCs w:val="24"/>
          <w:shd w:val="clear" w:color="auto" w:fill="FFFFFF"/>
        </w:rPr>
        <w:t>”</w:t>
      </w:r>
      <w:r>
        <w:rPr>
          <w:color w:val="191919"/>
          <w:szCs w:val="24"/>
          <w:shd w:val="clear" w:color="auto" w:fill="FFFFFF"/>
        </w:rPr>
        <w:t>，构建了上海市扬尘智慧监测系统；上海市的网格</w:t>
      </w:r>
      <w:proofErr w:type="gramStart"/>
      <w:r>
        <w:rPr>
          <w:color w:val="191919"/>
          <w:szCs w:val="24"/>
          <w:shd w:val="clear" w:color="auto" w:fill="FFFFFF"/>
        </w:rPr>
        <w:t>化污染</w:t>
      </w:r>
      <w:proofErr w:type="gramEnd"/>
      <w:r>
        <w:rPr>
          <w:color w:val="191919"/>
          <w:szCs w:val="24"/>
          <w:shd w:val="clear" w:color="auto" w:fill="FFFFFF"/>
        </w:rPr>
        <w:t>监控站也已达</w:t>
      </w:r>
      <w:r>
        <w:rPr>
          <w:color w:val="191919"/>
          <w:szCs w:val="24"/>
          <w:shd w:val="clear" w:color="auto" w:fill="FFFFFF"/>
        </w:rPr>
        <w:t>523</w:t>
      </w:r>
      <w:r>
        <w:rPr>
          <w:color w:val="191919"/>
          <w:szCs w:val="24"/>
          <w:shd w:val="clear" w:color="auto" w:fill="FFFFFF"/>
        </w:rPr>
        <w:t>个；</w:t>
      </w:r>
      <w:r>
        <w:t>安徽省的阜阳、亳州、宿州、淮北等地市也先后开展了传感器法监测网的布设，采用传感器法为主、个别</w:t>
      </w:r>
      <w:proofErr w:type="gramStart"/>
      <w:r>
        <w:t>固定站</w:t>
      </w:r>
      <w:proofErr w:type="gramEnd"/>
      <w:r>
        <w:t>验证、公交和出租车移动监测相结合的方式进行监测；此外，在长三角部分城市已经将传感器法微型监测站建设至了重点乡镇。</w:t>
      </w:r>
    </w:p>
    <w:p w:rsidR="002210DD" w:rsidRDefault="00A205B8">
      <w:pPr>
        <w:ind w:firstLine="480"/>
      </w:pPr>
      <w:r>
        <w:t>但在广泛发展应用的同时，这</w:t>
      </w:r>
      <w:proofErr w:type="gramStart"/>
      <w:r>
        <w:t>些小微站还</w:t>
      </w:r>
      <w:proofErr w:type="gramEnd"/>
      <w:r>
        <w:t>存在着监测项目较少，如仅监测</w:t>
      </w:r>
      <w:r>
        <w:t>PM</w:t>
      </w:r>
      <w:r>
        <w:rPr>
          <w:vertAlign w:val="subscript"/>
        </w:rPr>
        <w:t>2.5</w:t>
      </w:r>
      <w:r>
        <w:t>、</w:t>
      </w:r>
      <w:r>
        <w:t>PM</w:t>
      </w:r>
      <w:r>
        <w:rPr>
          <w:vertAlign w:val="subscript"/>
        </w:rPr>
        <w:t>10</w:t>
      </w:r>
      <w:r>
        <w:t>等颗粒物，以及监测与监管结合不紧密、数据已发生漂移导致监测数据质量</w:t>
      </w:r>
      <w:proofErr w:type="gramStart"/>
      <w:r>
        <w:t>不</w:t>
      </w:r>
      <w:proofErr w:type="gramEnd"/>
      <w:r>
        <w:t>高等问题，难以满足大气污染治理需求。因此，基于传感器设备的网格化监管在城市区域还有待技术性能的提升规范和进一步的推广应用。</w:t>
      </w:r>
    </w:p>
    <w:p w:rsidR="002210DD" w:rsidRDefault="00A205B8">
      <w:pPr>
        <w:pStyle w:val="1"/>
      </w:pPr>
      <w:r>
        <w:t>制定的基本原则和技术路线</w:t>
      </w:r>
    </w:p>
    <w:p w:rsidR="002210DD" w:rsidRDefault="00A205B8">
      <w:pPr>
        <w:pStyle w:val="2"/>
        <w:rPr>
          <w:rFonts w:ascii="Times New Roman" w:hAnsi="Times New Roman"/>
        </w:rPr>
      </w:pPr>
      <w:r>
        <w:rPr>
          <w:rFonts w:ascii="Times New Roman" w:hAnsi="Times New Roman"/>
        </w:rPr>
        <w:t>基本原则</w:t>
      </w:r>
    </w:p>
    <w:p w:rsidR="002210DD" w:rsidRDefault="00A205B8">
      <w:pPr>
        <w:ind w:firstLine="480"/>
      </w:pPr>
      <w:r>
        <w:t>本次规范制定，编制组本着科学性、通用性和可操作性的原则，以《环境空气质量自动监测技术规范》（</w:t>
      </w:r>
      <w:r>
        <w:t>HJ/T 193-2005</w:t>
      </w:r>
      <w:r>
        <w:t>）为依据，同时参考国内外相关标准规范，在广泛了解传感器设备市场现状及监测工作需求的基础上，对传感器监测设备</w:t>
      </w:r>
      <w:proofErr w:type="gramStart"/>
      <w:r>
        <w:t>作出</w:t>
      </w:r>
      <w:proofErr w:type="gramEnd"/>
      <w:r>
        <w:t>性能指标和技术要求的规定。基本原则主要体现在以下几个方面：</w:t>
      </w:r>
    </w:p>
    <w:p w:rsidR="002210DD" w:rsidRDefault="00A205B8">
      <w:pPr>
        <w:numPr>
          <w:ilvl w:val="0"/>
          <w:numId w:val="3"/>
        </w:numPr>
        <w:tabs>
          <w:tab w:val="left" w:pos="420"/>
        </w:tabs>
        <w:ind w:firstLine="482"/>
      </w:pPr>
      <w:r>
        <w:rPr>
          <w:b/>
          <w:bCs/>
        </w:rPr>
        <w:t>科学性。</w:t>
      </w:r>
      <w:r>
        <w:t>本规范通过开展两轮实验测试，对规范中仪器性能指标的选取及限定提供了数据支撑。仪器测试从实验室性能指标及室外应用性能指标两方面进行了比对及验证，测试方法充分考虑到现有技术的特点，为各仪器提供了一套动态校准系统及比对平台。并基于实际工作经验与需求，规范划分出技术要求、性能指标、检测方法等条款。</w:t>
      </w:r>
    </w:p>
    <w:p w:rsidR="002210DD" w:rsidRDefault="00A205B8">
      <w:pPr>
        <w:numPr>
          <w:ilvl w:val="0"/>
          <w:numId w:val="3"/>
        </w:numPr>
        <w:tabs>
          <w:tab w:val="left" w:pos="420"/>
        </w:tabs>
        <w:ind w:firstLine="482"/>
      </w:pPr>
      <w:r>
        <w:rPr>
          <w:b/>
          <w:bCs/>
        </w:rPr>
        <w:t>通用性。</w:t>
      </w:r>
      <w:r>
        <w:t>为了既满足现阶段环保管理工作对气态污染物的监测需求，</w:t>
      </w:r>
      <w:r>
        <w:lastRenderedPageBreak/>
        <w:t>又适用于目前传感器法监测系统技术水平整体不佳的市场现状，本规范充分考虑了传感器法监测系统的实施场景和监测目的，在对相关技术指标的限定上较国家标准技术的要求进行了适当的放宽。同时，为促进传感器法监测技术进步，鼓励技术创新，本规范对仪器的前端设计不作过多的强制要求，更加注重仪器实地应用性能的优劣。另外，规范内容尽量与现有标准保持匹配，其中涉及到已有相关标准规范的指标和方法均直接引用原标准文件。</w:t>
      </w:r>
    </w:p>
    <w:p w:rsidR="002210DD" w:rsidRDefault="00A205B8">
      <w:pPr>
        <w:numPr>
          <w:ilvl w:val="0"/>
          <w:numId w:val="3"/>
        </w:numPr>
        <w:tabs>
          <w:tab w:val="left" w:pos="420"/>
        </w:tabs>
        <w:ind w:firstLine="482"/>
      </w:pPr>
      <w:r>
        <w:rPr>
          <w:b/>
          <w:bCs/>
        </w:rPr>
        <w:t>可操作性。</w:t>
      </w:r>
      <w:r>
        <w:t>本规范所规定的设备技术要求、性能指标、检测方法，是以我国标准大气监测站工作的要求为基础，通过对相关管理部门和第三方运</w:t>
      </w:r>
      <w:proofErr w:type="gramStart"/>
      <w:r>
        <w:t>维人员</w:t>
      </w:r>
      <w:proofErr w:type="gramEnd"/>
      <w:r>
        <w:t>在实际工作中面临的问题和操作经验的充分调研，兼顾了仪器的特点和不同实施单位的需求，保持一定的灵活性和可操作性。</w:t>
      </w:r>
    </w:p>
    <w:p w:rsidR="002210DD" w:rsidRDefault="00A205B8">
      <w:pPr>
        <w:pStyle w:val="2"/>
        <w:rPr>
          <w:rFonts w:ascii="Times New Roman" w:hAnsi="Times New Roman"/>
        </w:rPr>
      </w:pPr>
      <w:r>
        <w:rPr>
          <w:rFonts w:ascii="Times New Roman" w:hAnsi="Times New Roman"/>
        </w:rPr>
        <w:t>技术路线</w:t>
      </w:r>
    </w:p>
    <w:p w:rsidR="002210DD" w:rsidRDefault="00A205B8">
      <w:pPr>
        <w:ind w:firstLine="480"/>
      </w:pPr>
      <w:r>
        <w:t>查阅相关文献、标准规范，对典型环境空气气态污染物连续自动监测系统的原理、性能进行对比评估，分析其系统组成与监测机制、应用现状与存在的问题。根据对大气连续自动监测系统的评估结果，整理并完善有代表性的环境空气气态污染物连续自动监测系统性能及特点。</w:t>
      </w:r>
      <w:r>
        <w:rPr>
          <w:color w:val="000000"/>
          <w:szCs w:val="24"/>
        </w:rPr>
        <w:t>充分考虑在长三角区</w:t>
      </w:r>
      <w:proofErr w:type="gramStart"/>
      <w:r>
        <w:rPr>
          <w:color w:val="000000"/>
          <w:szCs w:val="24"/>
        </w:rPr>
        <w:t>域实际</w:t>
      </w:r>
      <w:proofErr w:type="gramEnd"/>
      <w:r>
        <w:rPr>
          <w:color w:val="000000"/>
          <w:szCs w:val="24"/>
        </w:rPr>
        <w:t>条件（污染源分布、污染水平）、气候条件（温度、湿度）、地理条件（地形、地貌）等因素，</w:t>
      </w:r>
      <w:r>
        <w:t>对传感器法自动监测系统的外观要求、工作条件、安全要求、功能要求、性能指标等做出规定，并编制《环境空气气态污染物（</w:t>
      </w:r>
      <w:r>
        <w:t>SO</w:t>
      </w:r>
      <w:r>
        <w:rPr>
          <w:vertAlign w:val="subscript"/>
        </w:rPr>
        <w:t>2</w:t>
      </w:r>
      <w:r>
        <w:t>、</w:t>
      </w:r>
      <w:r>
        <w:t>NO</w:t>
      </w:r>
      <w:r>
        <w:rPr>
          <w:vertAlign w:val="subscript"/>
        </w:rPr>
        <w:t>2</w:t>
      </w:r>
      <w:r>
        <w:t>、</w:t>
      </w:r>
      <w:r>
        <w:t>NO</w:t>
      </w:r>
      <w:r>
        <w:t>、</w:t>
      </w:r>
      <w:r>
        <w:t>O</w:t>
      </w:r>
      <w:r>
        <w:rPr>
          <w:vertAlign w:val="subscript"/>
        </w:rPr>
        <w:t>3</w:t>
      </w:r>
      <w:r>
        <w:t>、</w:t>
      </w:r>
      <w:r>
        <w:t>CO</w:t>
      </w:r>
      <w:r>
        <w:t>）传感器法自动监测技术规范》。在开展方法验证实验和征求仪器厂商、专家、代表性监测技术人员意见的基础上，进行修改和完善，编制完成本规范文本和编制说明。规范编制技术路线如图</w:t>
      </w:r>
      <w:r>
        <w:t>1</w:t>
      </w:r>
      <w:r>
        <w:t>所示。</w:t>
      </w:r>
    </w:p>
    <w:p w:rsidR="002210DD" w:rsidRDefault="00A205B8">
      <w:pPr>
        <w:ind w:firstLineChars="0" w:firstLine="0"/>
        <w:jc w:val="center"/>
        <w:rPr>
          <w:kern w:val="0"/>
          <w:szCs w:val="24"/>
        </w:rPr>
      </w:pPr>
      <w:r>
        <w:rPr>
          <w:noProof/>
        </w:rPr>
        <w:lastRenderedPageBreak/>
        <w:drawing>
          <wp:inline distT="0" distB="0" distL="114300" distR="114300">
            <wp:extent cx="4604385" cy="5015865"/>
            <wp:effectExtent l="0" t="0" r="13335" b="133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4604385" cy="5015865"/>
                    </a:xfrm>
                    <a:prstGeom prst="rect">
                      <a:avLst/>
                    </a:prstGeom>
                    <a:noFill/>
                    <a:ln>
                      <a:noFill/>
                    </a:ln>
                  </pic:spPr>
                </pic:pic>
              </a:graphicData>
            </a:graphic>
          </wp:inline>
        </w:drawing>
      </w:r>
    </w:p>
    <w:p w:rsidR="002210DD" w:rsidRDefault="00A205B8">
      <w:pPr>
        <w:pStyle w:val="a9"/>
        <w:spacing w:after="156"/>
      </w:pPr>
      <w:r>
        <w:t>图</w:t>
      </w:r>
      <w:r>
        <w:t xml:space="preserve">4.2-1 </w:t>
      </w:r>
      <w:r>
        <w:t>规范制定技术路线</w:t>
      </w:r>
    </w:p>
    <w:p w:rsidR="002210DD" w:rsidRDefault="00A205B8">
      <w:pPr>
        <w:pStyle w:val="1"/>
      </w:pPr>
      <w:r>
        <w:t>主要内容说明</w:t>
      </w:r>
    </w:p>
    <w:p w:rsidR="002210DD" w:rsidRDefault="00A205B8">
      <w:pPr>
        <w:ind w:firstLine="480"/>
      </w:pPr>
      <w:r>
        <w:t>本规范的制定注重与国家现有标准和地方标准协调配套，与长</w:t>
      </w:r>
      <w:proofErr w:type="gramStart"/>
      <w:r>
        <w:t>三角区域大气管</w:t>
      </w:r>
      <w:proofErr w:type="gramEnd"/>
      <w:r>
        <w:t>控方针政策一致。向国际及国内先进水平看齐，充分考虑现有市场技术水平，对技术要求、性能指标等</w:t>
      </w:r>
      <w:proofErr w:type="gramStart"/>
      <w:r>
        <w:t>作出</w:t>
      </w:r>
      <w:proofErr w:type="gramEnd"/>
      <w:r>
        <w:t>详细要求，力求使规范涵盖技术内容尽可能全面，可操作性强、合理、有先进性。规范包括：前言、范围、规范性引用文件、术语和定义、系统组成、技术要求、性能指标、检测方法、附录共九个部分。</w:t>
      </w:r>
    </w:p>
    <w:p w:rsidR="002210DD" w:rsidRDefault="00A205B8">
      <w:pPr>
        <w:pStyle w:val="2"/>
        <w:rPr>
          <w:rFonts w:ascii="Times New Roman" w:hAnsi="Times New Roman"/>
        </w:rPr>
      </w:pPr>
      <w:r>
        <w:rPr>
          <w:rFonts w:ascii="Times New Roman" w:hAnsi="Times New Roman"/>
        </w:rPr>
        <w:t>适用范围确定</w:t>
      </w:r>
    </w:p>
    <w:p w:rsidR="002210DD" w:rsidRDefault="00A205B8">
      <w:pPr>
        <w:ind w:firstLine="480"/>
        <w:rPr>
          <w:szCs w:val="24"/>
        </w:rPr>
      </w:pPr>
      <w:r>
        <w:t>本规范目的在于为大气网格化监测提供支持。主要针对环境空气气态污染物网格</w:t>
      </w:r>
      <w:proofErr w:type="gramStart"/>
      <w:r>
        <w:t>化连续</w:t>
      </w:r>
      <w:proofErr w:type="gramEnd"/>
      <w:r>
        <w:t>监测系统的微型传感器监测设备，对环境空气气态污染物</w:t>
      </w:r>
      <w:r>
        <w:rPr>
          <w:szCs w:val="24"/>
        </w:rPr>
        <w:t>（</w:t>
      </w:r>
      <w:r>
        <w:rPr>
          <w:szCs w:val="24"/>
        </w:rPr>
        <w:t>SO</w:t>
      </w:r>
      <w:r>
        <w:rPr>
          <w:szCs w:val="24"/>
          <w:vertAlign w:val="subscript"/>
        </w:rPr>
        <w:t>2</w:t>
      </w:r>
      <w:r>
        <w:rPr>
          <w:szCs w:val="24"/>
        </w:rPr>
        <w:t>、</w:t>
      </w:r>
      <w:r>
        <w:rPr>
          <w:szCs w:val="24"/>
        </w:rPr>
        <w:t>NO</w:t>
      </w:r>
      <w:r>
        <w:rPr>
          <w:szCs w:val="24"/>
          <w:vertAlign w:val="subscript"/>
        </w:rPr>
        <w:t>2</w:t>
      </w:r>
      <w:r>
        <w:rPr>
          <w:szCs w:val="24"/>
        </w:rPr>
        <w:t>、</w:t>
      </w:r>
      <w:r>
        <w:rPr>
          <w:szCs w:val="24"/>
        </w:rPr>
        <w:lastRenderedPageBreak/>
        <w:t>NO</w:t>
      </w:r>
      <w:r>
        <w:rPr>
          <w:szCs w:val="24"/>
        </w:rPr>
        <w:t>、</w:t>
      </w:r>
      <w:r>
        <w:rPr>
          <w:szCs w:val="24"/>
        </w:rPr>
        <w:t>O</w:t>
      </w:r>
      <w:r>
        <w:rPr>
          <w:szCs w:val="24"/>
          <w:vertAlign w:val="subscript"/>
        </w:rPr>
        <w:t>3</w:t>
      </w:r>
      <w:r>
        <w:rPr>
          <w:szCs w:val="24"/>
        </w:rPr>
        <w:t>、</w:t>
      </w:r>
      <w:r>
        <w:rPr>
          <w:szCs w:val="24"/>
        </w:rPr>
        <w:t>CO</w:t>
      </w:r>
      <w:r>
        <w:rPr>
          <w:szCs w:val="24"/>
        </w:rPr>
        <w:t>）</w:t>
      </w:r>
      <w:r>
        <w:t>传感器法自动监测系统的技术要求和性能指标等</w:t>
      </w:r>
      <w:proofErr w:type="gramStart"/>
      <w:r>
        <w:t>作出</w:t>
      </w:r>
      <w:proofErr w:type="gramEnd"/>
      <w:r>
        <w:t>规范要求。用于对环境空气气态污染物</w:t>
      </w:r>
      <w:r>
        <w:rPr>
          <w:szCs w:val="24"/>
        </w:rPr>
        <w:t>（</w:t>
      </w:r>
      <w:r>
        <w:rPr>
          <w:szCs w:val="24"/>
        </w:rPr>
        <w:t>SO</w:t>
      </w:r>
      <w:r>
        <w:rPr>
          <w:szCs w:val="24"/>
          <w:vertAlign w:val="subscript"/>
        </w:rPr>
        <w:t>2</w:t>
      </w:r>
      <w:r>
        <w:rPr>
          <w:szCs w:val="24"/>
        </w:rPr>
        <w:t>、</w:t>
      </w:r>
      <w:r>
        <w:rPr>
          <w:szCs w:val="24"/>
        </w:rPr>
        <w:t>NO</w:t>
      </w:r>
      <w:r>
        <w:rPr>
          <w:szCs w:val="24"/>
          <w:vertAlign w:val="subscript"/>
        </w:rPr>
        <w:t>2</w:t>
      </w:r>
      <w:r>
        <w:rPr>
          <w:szCs w:val="24"/>
        </w:rPr>
        <w:t>、</w:t>
      </w:r>
      <w:r>
        <w:rPr>
          <w:szCs w:val="24"/>
        </w:rPr>
        <w:t>NO</w:t>
      </w:r>
      <w:r>
        <w:rPr>
          <w:szCs w:val="24"/>
        </w:rPr>
        <w:t>、</w:t>
      </w:r>
      <w:r>
        <w:rPr>
          <w:szCs w:val="24"/>
        </w:rPr>
        <w:t>O</w:t>
      </w:r>
      <w:r>
        <w:rPr>
          <w:szCs w:val="24"/>
          <w:vertAlign w:val="subscript"/>
        </w:rPr>
        <w:t>3</w:t>
      </w:r>
      <w:r>
        <w:rPr>
          <w:szCs w:val="24"/>
        </w:rPr>
        <w:t>、</w:t>
      </w:r>
      <w:r>
        <w:rPr>
          <w:szCs w:val="24"/>
        </w:rPr>
        <w:t>CO</w:t>
      </w:r>
      <w:r>
        <w:rPr>
          <w:szCs w:val="24"/>
        </w:rPr>
        <w:t>）传感器法连续监测系统的认证测试。因此本规范的适用范围规定为：</w:t>
      </w:r>
    </w:p>
    <w:p w:rsidR="002210DD" w:rsidRDefault="00A205B8">
      <w:pPr>
        <w:tabs>
          <w:tab w:val="left" w:pos="420"/>
        </w:tabs>
        <w:ind w:firstLine="480"/>
        <w:rPr>
          <w:szCs w:val="24"/>
        </w:rPr>
      </w:pPr>
      <w:r>
        <w:t>本文件规定了环境空气气态污染物</w:t>
      </w:r>
      <w:r>
        <w:rPr>
          <w:szCs w:val="24"/>
        </w:rPr>
        <w:t>（</w:t>
      </w:r>
      <w:r>
        <w:rPr>
          <w:szCs w:val="24"/>
        </w:rPr>
        <w:t>SO</w:t>
      </w:r>
      <w:r>
        <w:rPr>
          <w:szCs w:val="24"/>
          <w:vertAlign w:val="subscript"/>
        </w:rPr>
        <w:t>2</w:t>
      </w:r>
      <w:r>
        <w:rPr>
          <w:szCs w:val="24"/>
        </w:rPr>
        <w:t>、</w:t>
      </w:r>
      <w:r>
        <w:rPr>
          <w:szCs w:val="24"/>
        </w:rPr>
        <w:t>NO</w:t>
      </w:r>
      <w:r>
        <w:rPr>
          <w:szCs w:val="24"/>
          <w:vertAlign w:val="subscript"/>
        </w:rPr>
        <w:t>2</w:t>
      </w:r>
      <w:r>
        <w:rPr>
          <w:szCs w:val="24"/>
        </w:rPr>
        <w:t>、</w:t>
      </w:r>
      <w:r>
        <w:rPr>
          <w:szCs w:val="24"/>
        </w:rPr>
        <w:t>NO</w:t>
      </w:r>
      <w:r>
        <w:rPr>
          <w:szCs w:val="24"/>
        </w:rPr>
        <w:t>、</w:t>
      </w:r>
      <w:r>
        <w:rPr>
          <w:szCs w:val="24"/>
        </w:rPr>
        <w:t>O</w:t>
      </w:r>
      <w:r>
        <w:rPr>
          <w:szCs w:val="24"/>
          <w:vertAlign w:val="subscript"/>
        </w:rPr>
        <w:t>3</w:t>
      </w:r>
      <w:r>
        <w:rPr>
          <w:szCs w:val="24"/>
        </w:rPr>
        <w:t>、</w:t>
      </w:r>
      <w:r>
        <w:rPr>
          <w:szCs w:val="24"/>
        </w:rPr>
        <w:t>CO</w:t>
      </w:r>
      <w:r>
        <w:rPr>
          <w:szCs w:val="24"/>
        </w:rPr>
        <w:t>）传感器法自动监测系统的组成结构、技术要求、性能指标和检测方法。</w:t>
      </w:r>
    </w:p>
    <w:p w:rsidR="002210DD" w:rsidRDefault="00A205B8">
      <w:pPr>
        <w:tabs>
          <w:tab w:val="left" w:pos="420"/>
        </w:tabs>
        <w:ind w:firstLine="480"/>
        <w:rPr>
          <w:szCs w:val="24"/>
        </w:rPr>
      </w:pPr>
      <w:r>
        <w:rPr>
          <w:szCs w:val="24"/>
        </w:rPr>
        <w:t>本文件适用于长三角区</w:t>
      </w:r>
      <w:proofErr w:type="gramStart"/>
      <w:r>
        <w:rPr>
          <w:szCs w:val="24"/>
        </w:rPr>
        <w:t>域环境</w:t>
      </w:r>
      <w:proofErr w:type="gramEnd"/>
      <w:r>
        <w:rPr>
          <w:szCs w:val="24"/>
        </w:rPr>
        <w:t>空气气态污染物（</w:t>
      </w:r>
      <w:r>
        <w:rPr>
          <w:szCs w:val="24"/>
        </w:rPr>
        <w:t>SO</w:t>
      </w:r>
      <w:r>
        <w:rPr>
          <w:szCs w:val="24"/>
          <w:vertAlign w:val="subscript"/>
        </w:rPr>
        <w:t>2</w:t>
      </w:r>
      <w:r>
        <w:rPr>
          <w:szCs w:val="24"/>
        </w:rPr>
        <w:t>、</w:t>
      </w:r>
      <w:r>
        <w:rPr>
          <w:szCs w:val="24"/>
        </w:rPr>
        <w:t>NO</w:t>
      </w:r>
      <w:r>
        <w:rPr>
          <w:szCs w:val="24"/>
          <w:vertAlign w:val="subscript"/>
        </w:rPr>
        <w:t>2</w:t>
      </w:r>
      <w:r>
        <w:rPr>
          <w:szCs w:val="24"/>
        </w:rPr>
        <w:t>、</w:t>
      </w:r>
      <w:r>
        <w:rPr>
          <w:szCs w:val="24"/>
        </w:rPr>
        <w:t>NO</w:t>
      </w:r>
      <w:r>
        <w:rPr>
          <w:szCs w:val="24"/>
        </w:rPr>
        <w:t>、</w:t>
      </w:r>
      <w:r>
        <w:rPr>
          <w:szCs w:val="24"/>
        </w:rPr>
        <w:t>O</w:t>
      </w:r>
      <w:r>
        <w:rPr>
          <w:szCs w:val="24"/>
          <w:vertAlign w:val="subscript"/>
        </w:rPr>
        <w:t>3</w:t>
      </w:r>
      <w:r>
        <w:rPr>
          <w:szCs w:val="24"/>
        </w:rPr>
        <w:t>、</w:t>
      </w:r>
      <w:r>
        <w:rPr>
          <w:szCs w:val="24"/>
        </w:rPr>
        <w:t>CO</w:t>
      </w:r>
      <w:r>
        <w:rPr>
          <w:szCs w:val="24"/>
        </w:rPr>
        <w:t>）传感器法自动监测系统的检测和比对评估等工作。</w:t>
      </w:r>
    </w:p>
    <w:p w:rsidR="002210DD" w:rsidRDefault="00A205B8">
      <w:pPr>
        <w:ind w:firstLine="480"/>
        <w:rPr>
          <w:szCs w:val="24"/>
        </w:rPr>
      </w:pPr>
      <w:r>
        <w:rPr>
          <w:szCs w:val="24"/>
        </w:rPr>
        <w:t>其他同类城市经确认后可参考本规范进行境空气气态污染物（</w:t>
      </w:r>
      <w:r>
        <w:rPr>
          <w:szCs w:val="24"/>
        </w:rPr>
        <w:t>SO</w:t>
      </w:r>
      <w:r>
        <w:rPr>
          <w:szCs w:val="24"/>
          <w:vertAlign w:val="subscript"/>
        </w:rPr>
        <w:t>2</w:t>
      </w:r>
      <w:r>
        <w:rPr>
          <w:szCs w:val="24"/>
        </w:rPr>
        <w:t>、</w:t>
      </w:r>
      <w:r>
        <w:rPr>
          <w:szCs w:val="24"/>
        </w:rPr>
        <w:t>NO</w:t>
      </w:r>
      <w:r>
        <w:rPr>
          <w:szCs w:val="24"/>
          <w:vertAlign w:val="subscript"/>
        </w:rPr>
        <w:t>2</w:t>
      </w:r>
      <w:r>
        <w:rPr>
          <w:szCs w:val="24"/>
        </w:rPr>
        <w:t>、</w:t>
      </w:r>
      <w:r>
        <w:rPr>
          <w:szCs w:val="24"/>
        </w:rPr>
        <w:t>NO</w:t>
      </w:r>
      <w:r>
        <w:rPr>
          <w:szCs w:val="24"/>
        </w:rPr>
        <w:t>、</w:t>
      </w:r>
      <w:r>
        <w:rPr>
          <w:szCs w:val="24"/>
        </w:rPr>
        <w:t>O</w:t>
      </w:r>
      <w:r>
        <w:rPr>
          <w:szCs w:val="24"/>
          <w:vertAlign w:val="subscript"/>
        </w:rPr>
        <w:t>3</w:t>
      </w:r>
      <w:r>
        <w:rPr>
          <w:szCs w:val="24"/>
        </w:rPr>
        <w:t>、</w:t>
      </w:r>
      <w:r>
        <w:rPr>
          <w:szCs w:val="24"/>
        </w:rPr>
        <w:t>CO</w:t>
      </w:r>
      <w:r>
        <w:rPr>
          <w:szCs w:val="24"/>
        </w:rPr>
        <w:t>）网格化监测设备的选型、检测和比对评估。</w:t>
      </w:r>
    </w:p>
    <w:p w:rsidR="002210DD" w:rsidRDefault="00A205B8">
      <w:pPr>
        <w:pStyle w:val="2"/>
        <w:rPr>
          <w:rFonts w:ascii="Times New Roman" w:hAnsi="Times New Roman"/>
        </w:rPr>
      </w:pPr>
      <w:r>
        <w:rPr>
          <w:rFonts w:ascii="Times New Roman" w:hAnsi="Times New Roman"/>
        </w:rPr>
        <w:t>术语和定义</w:t>
      </w:r>
    </w:p>
    <w:p w:rsidR="002210DD" w:rsidRDefault="00A205B8">
      <w:pPr>
        <w:ind w:firstLine="480"/>
      </w:pPr>
      <w:r>
        <w:t>为对规范中的术语进行统一规范的定义，在本部分对重要术语进行定义和解释。本规范相关术语主要引用其他标准已规定的术语与定义。</w:t>
      </w:r>
    </w:p>
    <w:p w:rsidR="002210DD" w:rsidRDefault="00A205B8">
      <w:pPr>
        <w:ind w:firstLine="480"/>
      </w:pPr>
      <w:r>
        <w:t>“</w:t>
      </w:r>
      <w:r>
        <w:t>传感器法监测设备</w:t>
      </w:r>
      <w:r>
        <w:t>”</w:t>
      </w:r>
      <w:r>
        <w:t>在本规范中作为主体监测设备，具有网格化监测使用目的，因此本规范对其进行了明确的定义，参考了国家标准</w:t>
      </w:r>
      <w:proofErr w:type="gramStart"/>
      <w:r>
        <w:t>环办监测</w:t>
      </w:r>
      <w:proofErr w:type="gramEnd"/>
      <w:r>
        <w:t>函</w:t>
      </w:r>
      <w:r>
        <w:t xml:space="preserve"> [2017] 2027</w:t>
      </w:r>
      <w:r>
        <w:t>号对网格化监测设备的定义，对传感器法监测设备定义为</w:t>
      </w:r>
      <w:r>
        <w:t>“</w:t>
      </w:r>
      <w:r>
        <w:t>指采用电化学、金属氧化物等传感器检测方法，可以直接用于室外监测大气气态污染物</w:t>
      </w:r>
      <w:r>
        <w:rPr>
          <w:szCs w:val="24"/>
        </w:rPr>
        <w:t>SO</w:t>
      </w:r>
      <w:r>
        <w:rPr>
          <w:szCs w:val="24"/>
          <w:vertAlign w:val="subscript"/>
        </w:rPr>
        <w:t>2</w:t>
      </w:r>
      <w:r>
        <w:rPr>
          <w:szCs w:val="24"/>
        </w:rPr>
        <w:t>、</w:t>
      </w:r>
      <w:r>
        <w:rPr>
          <w:szCs w:val="24"/>
        </w:rPr>
        <w:t>NO</w:t>
      </w:r>
      <w:r>
        <w:rPr>
          <w:szCs w:val="24"/>
          <w:vertAlign w:val="subscript"/>
        </w:rPr>
        <w:t>2</w:t>
      </w:r>
      <w:r>
        <w:rPr>
          <w:szCs w:val="24"/>
        </w:rPr>
        <w:t>、</w:t>
      </w:r>
      <w:r>
        <w:rPr>
          <w:szCs w:val="24"/>
        </w:rPr>
        <w:t>NO</w:t>
      </w:r>
      <w:r>
        <w:rPr>
          <w:szCs w:val="24"/>
        </w:rPr>
        <w:t>、</w:t>
      </w:r>
      <w:r>
        <w:rPr>
          <w:szCs w:val="24"/>
        </w:rPr>
        <w:t>O</w:t>
      </w:r>
      <w:r>
        <w:rPr>
          <w:szCs w:val="24"/>
          <w:vertAlign w:val="subscript"/>
        </w:rPr>
        <w:t>3</w:t>
      </w:r>
      <w:r>
        <w:rPr>
          <w:szCs w:val="24"/>
        </w:rPr>
        <w:t>、</w:t>
      </w:r>
      <w:r>
        <w:rPr>
          <w:szCs w:val="24"/>
        </w:rPr>
        <w:t>CO</w:t>
      </w:r>
      <w:r>
        <w:t>等浓度状况的监测设备</w:t>
      </w:r>
      <w:r>
        <w:t>”</w:t>
      </w:r>
      <w:r>
        <w:t>。</w:t>
      </w:r>
    </w:p>
    <w:p w:rsidR="002210DD" w:rsidRDefault="00A205B8">
      <w:pPr>
        <w:pStyle w:val="2"/>
        <w:rPr>
          <w:rFonts w:ascii="Times New Roman" w:hAnsi="Times New Roman"/>
        </w:rPr>
      </w:pPr>
      <w:r>
        <w:rPr>
          <w:rFonts w:ascii="Times New Roman" w:hAnsi="Times New Roman"/>
        </w:rPr>
        <w:t>系统组成</w:t>
      </w:r>
    </w:p>
    <w:p w:rsidR="002210DD" w:rsidRDefault="00A205B8">
      <w:pPr>
        <w:ind w:firstLine="480"/>
      </w:pPr>
      <w:r>
        <w:t>本规范对环境空气气态污染物传感器法监测系统的系统组成与测量原理进行了描述。</w:t>
      </w:r>
    </w:p>
    <w:p w:rsidR="002210DD" w:rsidRDefault="00A205B8">
      <w:pPr>
        <w:tabs>
          <w:tab w:val="left" w:pos="420"/>
        </w:tabs>
        <w:ind w:firstLine="480"/>
        <w:rPr>
          <w:szCs w:val="24"/>
        </w:rPr>
      </w:pPr>
      <w:r>
        <w:rPr>
          <w:szCs w:val="24"/>
        </w:rPr>
        <w:t>监测系统由监测单元、数据传输及存储单元、数据处理分析单元、其他辅助单元组成。</w:t>
      </w:r>
      <w:r>
        <w:t>监测单元是指网格化监测设备，由采样入口、测量装置和辅助模块等组成，将环境空气中气态污染物（</w:t>
      </w:r>
      <w:r>
        <w:t>SO</w:t>
      </w:r>
      <w:r>
        <w:rPr>
          <w:vertAlign w:val="subscript"/>
        </w:rPr>
        <w:t>2</w:t>
      </w:r>
      <w:r>
        <w:t>、</w:t>
      </w:r>
      <w:r>
        <w:t>NO</w:t>
      </w:r>
      <w:r>
        <w:rPr>
          <w:vertAlign w:val="subscript"/>
        </w:rPr>
        <w:t>2</w:t>
      </w:r>
      <w:r>
        <w:t>、</w:t>
      </w:r>
      <w:r>
        <w:t>NO</w:t>
      </w:r>
      <w:r>
        <w:t>、</w:t>
      </w:r>
      <w:r>
        <w:t>O</w:t>
      </w:r>
      <w:r>
        <w:rPr>
          <w:vertAlign w:val="subscript"/>
        </w:rPr>
        <w:t>3</w:t>
      </w:r>
      <w:r>
        <w:t>、</w:t>
      </w:r>
      <w:r>
        <w:t>CO</w:t>
      </w:r>
      <w:r>
        <w:t>）输送到测量装置并进行测量。数据传输及存储单元能够</w:t>
      </w:r>
      <w:r>
        <w:rPr>
          <w:rFonts w:hint="eastAsia"/>
        </w:rPr>
        <w:t>实时无线传输监测单元产生</w:t>
      </w:r>
      <w:r>
        <w:t>数据、设备工作状态信息等，</w:t>
      </w:r>
      <w:r>
        <w:rPr>
          <w:rFonts w:hint="eastAsia"/>
        </w:rPr>
        <w:t>并</w:t>
      </w:r>
      <w:r>
        <w:t>安全存储。数据处理分析单元是整个系统运行的中心，一般由计算机、数据处理模块及系统管理模块组成，用于监测单元产生数据的换算、判别及网格化监测系统的管理等。其他辅助单元包括安装仪器设备所需要的安装固定</w:t>
      </w:r>
      <w:r>
        <w:lastRenderedPageBreak/>
        <w:t>装置等。</w:t>
      </w:r>
    </w:p>
    <w:p w:rsidR="002210DD" w:rsidRDefault="00A205B8">
      <w:pPr>
        <w:ind w:firstLine="480"/>
      </w:pPr>
      <w:r>
        <w:t>电化学法、金属氧化物气体传感器相比于其他气体传感器，应用与研究较多，且具有成本低、功耗低、灵敏度高等优点，国内外市场上的气体传感器生产厂家的设计原理多为电化学法、金属氧化物。</w:t>
      </w:r>
      <w:r>
        <w:rPr>
          <w:rFonts w:hint="eastAsia"/>
        </w:rPr>
        <w:t>本规范</w:t>
      </w:r>
      <w:r>
        <w:t>对环境空气气态污染物（</w:t>
      </w:r>
      <w:r>
        <w:t>SO</w:t>
      </w:r>
      <w:r>
        <w:rPr>
          <w:vertAlign w:val="subscript"/>
        </w:rPr>
        <w:t>2</w:t>
      </w:r>
      <w:r>
        <w:t>、</w:t>
      </w:r>
      <w:r>
        <w:t>NO</w:t>
      </w:r>
      <w:r>
        <w:rPr>
          <w:vertAlign w:val="subscript"/>
        </w:rPr>
        <w:t>2</w:t>
      </w:r>
      <w:r>
        <w:t>、</w:t>
      </w:r>
      <w:r>
        <w:t>NO</w:t>
      </w:r>
      <w:r>
        <w:t>、</w:t>
      </w:r>
      <w:r>
        <w:t>O</w:t>
      </w:r>
      <w:r>
        <w:rPr>
          <w:vertAlign w:val="subscript"/>
        </w:rPr>
        <w:t>3</w:t>
      </w:r>
      <w:r>
        <w:t>、</w:t>
      </w:r>
      <w:r>
        <w:t>CO</w:t>
      </w:r>
      <w:r>
        <w:t>）网格监测系统网格化监测设备的测量方法推荐为电化学、金属氧化物传感器法，同时鼓励其他原理传感器监测性能的提升。</w:t>
      </w:r>
    </w:p>
    <w:p w:rsidR="002210DD" w:rsidRDefault="00A205B8">
      <w:pPr>
        <w:pStyle w:val="2"/>
        <w:rPr>
          <w:rFonts w:ascii="Times New Roman" w:hAnsi="Times New Roman"/>
        </w:rPr>
      </w:pPr>
      <w:r>
        <w:rPr>
          <w:rFonts w:ascii="Times New Roman" w:hAnsi="Times New Roman"/>
        </w:rPr>
        <w:t>技术要求</w:t>
      </w:r>
    </w:p>
    <w:p w:rsidR="002210DD" w:rsidRDefault="00A205B8">
      <w:pPr>
        <w:ind w:firstLine="480"/>
      </w:pPr>
      <w:r>
        <w:t>本规范给出了监测系统的外观、工作环境条件、安全、功能、通信等方面的技术要求。主要参考了《大气</w:t>
      </w:r>
      <w:r>
        <w:t>PM</w:t>
      </w:r>
      <w:r>
        <w:rPr>
          <w:vertAlign w:val="subscript"/>
        </w:rPr>
        <w:t>2.5</w:t>
      </w:r>
      <w:r>
        <w:t>网格化监测技术要求和检测方法技术规范》（</w:t>
      </w:r>
      <w:proofErr w:type="gramStart"/>
      <w:r>
        <w:t>环办监测</w:t>
      </w:r>
      <w:proofErr w:type="gramEnd"/>
      <w:r>
        <w:t>函</w:t>
      </w:r>
      <w:r>
        <w:t>[2017]2027</w:t>
      </w:r>
      <w:r>
        <w:t>号）、《环境空气气态污染物</w:t>
      </w:r>
      <w:r>
        <w:rPr>
          <w:szCs w:val="24"/>
        </w:rPr>
        <w:t>（</w:t>
      </w:r>
      <w:r>
        <w:rPr>
          <w:szCs w:val="24"/>
        </w:rPr>
        <w:t>SO</w:t>
      </w:r>
      <w:r>
        <w:rPr>
          <w:szCs w:val="24"/>
          <w:vertAlign w:val="subscript"/>
        </w:rPr>
        <w:t>2</w:t>
      </w:r>
      <w:r>
        <w:rPr>
          <w:szCs w:val="24"/>
        </w:rPr>
        <w:t>、</w:t>
      </w:r>
      <w:r>
        <w:rPr>
          <w:szCs w:val="24"/>
        </w:rPr>
        <w:t>NO</w:t>
      </w:r>
      <w:r>
        <w:rPr>
          <w:szCs w:val="24"/>
          <w:vertAlign w:val="subscript"/>
        </w:rPr>
        <w:t>2</w:t>
      </w:r>
      <w:r>
        <w:rPr>
          <w:szCs w:val="24"/>
        </w:rPr>
        <w:t>、</w:t>
      </w:r>
      <w:r>
        <w:rPr>
          <w:szCs w:val="24"/>
        </w:rPr>
        <w:t>O</w:t>
      </w:r>
      <w:r>
        <w:rPr>
          <w:szCs w:val="24"/>
          <w:vertAlign w:val="subscript"/>
        </w:rPr>
        <w:t>3</w:t>
      </w:r>
      <w:r>
        <w:rPr>
          <w:szCs w:val="24"/>
        </w:rPr>
        <w:t>、</w:t>
      </w:r>
      <w:r>
        <w:rPr>
          <w:szCs w:val="24"/>
        </w:rPr>
        <w:t>CO</w:t>
      </w:r>
      <w:r>
        <w:rPr>
          <w:szCs w:val="24"/>
        </w:rPr>
        <w:t>）</w:t>
      </w:r>
      <w:r>
        <w:t>连续自动监测系统技术要求及检测方法》（</w:t>
      </w:r>
      <w:r>
        <w:t>HJ654-2013</w:t>
      </w:r>
      <w:r>
        <w:t>）以及《大气污染防治网格化监测系统技术要求及检测方法》（</w:t>
      </w:r>
      <w:r>
        <w:t>DB13/T2544—2017</w:t>
      </w:r>
      <w:r>
        <w:t>）。</w:t>
      </w:r>
    </w:p>
    <w:p w:rsidR="002210DD" w:rsidRDefault="00A205B8">
      <w:pPr>
        <w:pStyle w:val="3"/>
      </w:pPr>
      <w:r>
        <w:t>外观要求</w:t>
      </w:r>
    </w:p>
    <w:p w:rsidR="002210DD" w:rsidRDefault="00A205B8">
      <w:pPr>
        <w:ind w:firstLine="480"/>
      </w:pPr>
      <w:r>
        <w:t>（</w:t>
      </w:r>
      <w:r>
        <w:t>1</w:t>
      </w:r>
      <w:r>
        <w:t>）设备铭牌</w:t>
      </w:r>
    </w:p>
    <w:p w:rsidR="002210DD" w:rsidRDefault="00A205B8">
      <w:pPr>
        <w:ind w:firstLine="480"/>
      </w:pPr>
      <w:r>
        <w:t>监测设备应具有产品铭牌，铭牌上应标有仪器名称、型号、标识码（条码</w:t>
      </w:r>
      <w:r>
        <w:t>/</w:t>
      </w:r>
      <w:r>
        <w:t>二维码）、生产单位、出厂编号、制造日期等信息。</w:t>
      </w:r>
    </w:p>
    <w:p w:rsidR="002210DD" w:rsidRDefault="00A205B8">
      <w:pPr>
        <w:ind w:firstLine="480"/>
      </w:pPr>
      <w:r>
        <w:t>此条参考了《环境空气气态污染物</w:t>
      </w:r>
      <w:r>
        <w:rPr>
          <w:szCs w:val="24"/>
        </w:rPr>
        <w:t>（</w:t>
      </w:r>
      <w:r>
        <w:rPr>
          <w:szCs w:val="24"/>
        </w:rPr>
        <w:t>SO</w:t>
      </w:r>
      <w:r>
        <w:rPr>
          <w:szCs w:val="24"/>
          <w:vertAlign w:val="subscript"/>
        </w:rPr>
        <w:t>2</w:t>
      </w:r>
      <w:r>
        <w:rPr>
          <w:szCs w:val="24"/>
        </w:rPr>
        <w:t>、</w:t>
      </w:r>
      <w:r>
        <w:rPr>
          <w:szCs w:val="24"/>
        </w:rPr>
        <w:t>NO</w:t>
      </w:r>
      <w:r>
        <w:rPr>
          <w:szCs w:val="24"/>
          <w:vertAlign w:val="subscript"/>
        </w:rPr>
        <w:t>2</w:t>
      </w:r>
      <w:r>
        <w:rPr>
          <w:szCs w:val="24"/>
        </w:rPr>
        <w:t>、</w:t>
      </w:r>
      <w:r>
        <w:rPr>
          <w:szCs w:val="24"/>
        </w:rPr>
        <w:t>O</w:t>
      </w:r>
      <w:r>
        <w:rPr>
          <w:szCs w:val="24"/>
          <w:vertAlign w:val="subscript"/>
        </w:rPr>
        <w:t>3</w:t>
      </w:r>
      <w:r>
        <w:rPr>
          <w:szCs w:val="24"/>
        </w:rPr>
        <w:t>、</w:t>
      </w:r>
      <w:r>
        <w:rPr>
          <w:szCs w:val="24"/>
        </w:rPr>
        <w:t>CO</w:t>
      </w:r>
      <w:r>
        <w:rPr>
          <w:szCs w:val="24"/>
        </w:rPr>
        <w:t>）</w:t>
      </w:r>
      <w:r>
        <w:t>连续自动监测系统技术要求及检测方法》（</w:t>
      </w:r>
      <w:r>
        <w:t>HJ654-2013</w:t>
      </w:r>
      <w:r>
        <w:t>）的</w:t>
      </w:r>
      <w:r>
        <w:t>5.1.1.1</w:t>
      </w:r>
      <w:r>
        <w:t>条要求，属于一般要求。考虑到环境空气网格化监测系统中的监测设备数量较大，参考《大气</w:t>
      </w:r>
      <w:r>
        <w:t>PM</w:t>
      </w:r>
      <w:r>
        <w:rPr>
          <w:vertAlign w:val="subscript"/>
        </w:rPr>
        <w:t>2.5</w:t>
      </w:r>
      <w:r>
        <w:t>网格化监测技术要求和检测方法技术规范》（</w:t>
      </w:r>
      <w:proofErr w:type="gramStart"/>
      <w:r>
        <w:t>环办监测</w:t>
      </w:r>
      <w:proofErr w:type="gramEnd"/>
      <w:r>
        <w:t>函</w:t>
      </w:r>
      <w:r>
        <w:t>[2017]2027</w:t>
      </w:r>
      <w:r>
        <w:t>号）的</w:t>
      </w:r>
      <w:r>
        <w:t>5.1.1</w:t>
      </w:r>
      <w:r>
        <w:t>的要求，增加了要求每个监测单元有唯一的标识码（条码</w:t>
      </w:r>
      <w:r>
        <w:t>/</w:t>
      </w:r>
      <w:r>
        <w:t>二维码），便于安装和管理。</w:t>
      </w:r>
    </w:p>
    <w:p w:rsidR="002210DD" w:rsidRDefault="00A205B8">
      <w:pPr>
        <w:ind w:leftChars="200" w:left="480" w:firstLineChars="0" w:firstLine="0"/>
      </w:pPr>
      <w:r>
        <w:t>（</w:t>
      </w:r>
      <w:r>
        <w:t>2</w:t>
      </w:r>
      <w:r>
        <w:t>）设备外观</w:t>
      </w:r>
    </w:p>
    <w:p w:rsidR="002210DD" w:rsidRDefault="00A205B8">
      <w:pPr>
        <w:ind w:firstLine="480"/>
      </w:pPr>
      <w:r>
        <w:t>监测设备表面应完好无损，无明显缺陷，各零部件连接可靠，各操作键、按钮灵活有效。</w:t>
      </w:r>
    </w:p>
    <w:p w:rsidR="002210DD" w:rsidRDefault="00A205B8">
      <w:pPr>
        <w:ind w:firstLine="480"/>
      </w:pPr>
      <w:r>
        <w:t>此条参考了《环境空气气态污染物</w:t>
      </w:r>
      <w:r>
        <w:rPr>
          <w:szCs w:val="24"/>
        </w:rPr>
        <w:t>（</w:t>
      </w:r>
      <w:r>
        <w:rPr>
          <w:szCs w:val="24"/>
        </w:rPr>
        <w:t>SO</w:t>
      </w:r>
      <w:r>
        <w:rPr>
          <w:szCs w:val="24"/>
          <w:vertAlign w:val="subscript"/>
        </w:rPr>
        <w:t>2</w:t>
      </w:r>
      <w:r>
        <w:rPr>
          <w:szCs w:val="24"/>
        </w:rPr>
        <w:t>、</w:t>
      </w:r>
      <w:r>
        <w:rPr>
          <w:szCs w:val="24"/>
        </w:rPr>
        <w:t>NO</w:t>
      </w:r>
      <w:r>
        <w:rPr>
          <w:szCs w:val="24"/>
          <w:vertAlign w:val="subscript"/>
        </w:rPr>
        <w:t>2</w:t>
      </w:r>
      <w:r>
        <w:rPr>
          <w:szCs w:val="24"/>
        </w:rPr>
        <w:t>、</w:t>
      </w:r>
      <w:r>
        <w:rPr>
          <w:szCs w:val="24"/>
        </w:rPr>
        <w:t>O</w:t>
      </w:r>
      <w:r>
        <w:rPr>
          <w:szCs w:val="24"/>
          <w:vertAlign w:val="subscript"/>
        </w:rPr>
        <w:t>3</w:t>
      </w:r>
      <w:r>
        <w:rPr>
          <w:szCs w:val="24"/>
        </w:rPr>
        <w:t>、</w:t>
      </w:r>
      <w:r>
        <w:rPr>
          <w:szCs w:val="24"/>
        </w:rPr>
        <w:t>CO</w:t>
      </w:r>
      <w:r>
        <w:rPr>
          <w:szCs w:val="24"/>
        </w:rPr>
        <w:t>）</w:t>
      </w:r>
      <w:r>
        <w:t>连续自动监测系统技术要求及检测方法》（</w:t>
      </w:r>
      <w:r>
        <w:t>HJ654-2013</w:t>
      </w:r>
      <w:r>
        <w:t>）的</w:t>
      </w:r>
      <w:r>
        <w:t>5.1.1.2</w:t>
      </w:r>
      <w:r>
        <w:t>条要求，属于一般要求。</w:t>
      </w:r>
    </w:p>
    <w:p w:rsidR="002210DD" w:rsidRDefault="00A205B8">
      <w:pPr>
        <w:ind w:firstLine="480"/>
      </w:pPr>
      <w:r>
        <w:t>（</w:t>
      </w:r>
      <w:r>
        <w:t>3</w:t>
      </w:r>
      <w:r>
        <w:t>）设备重量</w:t>
      </w:r>
    </w:p>
    <w:p w:rsidR="002210DD" w:rsidRDefault="00A205B8">
      <w:pPr>
        <w:ind w:firstLine="480"/>
      </w:pPr>
      <w:r>
        <w:lastRenderedPageBreak/>
        <w:t>为便于运输、携带、安装和动态调整位置，设备宜采用小型化、一体化设计。</w:t>
      </w:r>
    </w:p>
    <w:p w:rsidR="002210DD" w:rsidRDefault="00A205B8">
      <w:pPr>
        <w:pStyle w:val="a7"/>
        <w:spacing w:before="156"/>
      </w:pPr>
      <w:r>
        <w:t>表</w:t>
      </w:r>
      <w:r>
        <w:t xml:space="preserve">5.4-1  </w:t>
      </w:r>
      <w:r>
        <w:t>监测设备外观要求对比</w:t>
      </w:r>
    </w:p>
    <w:tbl>
      <w:tblPr>
        <w:tblW w:w="4999" w:type="pct"/>
        <w:tblCellMar>
          <w:left w:w="0" w:type="dxa"/>
          <w:right w:w="0" w:type="dxa"/>
        </w:tblCellMar>
        <w:tblLook w:val="04A0" w:firstRow="1" w:lastRow="0" w:firstColumn="1" w:lastColumn="0" w:noHBand="0" w:noVBand="1"/>
      </w:tblPr>
      <w:tblGrid>
        <w:gridCol w:w="2379"/>
        <w:gridCol w:w="2765"/>
        <w:gridCol w:w="1574"/>
        <w:gridCol w:w="1576"/>
      </w:tblGrid>
      <w:tr w:rsidR="002210DD">
        <w:trPr>
          <w:trHeight w:val="340"/>
        </w:trPr>
        <w:tc>
          <w:tcPr>
            <w:tcW w:w="1433"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b/>
                <w:bCs/>
                <w:kern w:val="0"/>
                <w:sz w:val="18"/>
                <w:szCs w:val="18"/>
              </w:rPr>
            </w:pPr>
            <w:r>
              <w:rPr>
                <w:b/>
                <w:bCs/>
                <w:kern w:val="0"/>
                <w:sz w:val="18"/>
                <w:szCs w:val="18"/>
              </w:rPr>
              <w:t>规范名称</w:t>
            </w:r>
          </w:p>
        </w:tc>
        <w:tc>
          <w:tcPr>
            <w:tcW w:w="1666"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b/>
                <w:bCs/>
                <w:kern w:val="0"/>
                <w:sz w:val="18"/>
                <w:szCs w:val="18"/>
              </w:rPr>
            </w:pPr>
            <w:r>
              <w:rPr>
                <w:b/>
                <w:bCs/>
                <w:kern w:val="0"/>
                <w:sz w:val="18"/>
                <w:szCs w:val="18"/>
              </w:rPr>
              <w:t>检测参数</w:t>
            </w:r>
          </w:p>
        </w:tc>
        <w:tc>
          <w:tcPr>
            <w:tcW w:w="94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b/>
                <w:bCs/>
                <w:kern w:val="0"/>
                <w:sz w:val="18"/>
                <w:szCs w:val="18"/>
              </w:rPr>
            </w:pPr>
            <w:r>
              <w:rPr>
                <w:b/>
                <w:bCs/>
                <w:kern w:val="0"/>
                <w:sz w:val="18"/>
                <w:szCs w:val="18"/>
              </w:rPr>
              <w:t>总体积</w:t>
            </w:r>
            <w:r>
              <w:rPr>
                <w:b/>
                <w:bCs/>
                <w:kern w:val="0"/>
                <w:sz w:val="18"/>
                <w:szCs w:val="18"/>
              </w:rPr>
              <w:br/>
            </w:r>
            <w:r>
              <w:rPr>
                <w:b/>
                <w:bCs/>
                <w:kern w:val="0"/>
                <w:sz w:val="18"/>
                <w:szCs w:val="18"/>
              </w:rPr>
              <w:t>（</w:t>
            </w:r>
            <w:r>
              <w:rPr>
                <w:b/>
                <w:bCs/>
                <w:kern w:val="0"/>
                <w:sz w:val="18"/>
                <w:szCs w:val="18"/>
              </w:rPr>
              <w:t>m³</w:t>
            </w:r>
            <w:r>
              <w:rPr>
                <w:b/>
                <w:bCs/>
                <w:kern w:val="0"/>
                <w:sz w:val="18"/>
                <w:szCs w:val="18"/>
              </w:rPr>
              <w:t>）</w:t>
            </w:r>
          </w:p>
        </w:tc>
        <w:tc>
          <w:tcPr>
            <w:tcW w:w="9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b/>
                <w:bCs/>
                <w:kern w:val="0"/>
                <w:sz w:val="18"/>
                <w:szCs w:val="18"/>
              </w:rPr>
            </w:pPr>
            <w:r>
              <w:rPr>
                <w:b/>
                <w:bCs/>
                <w:kern w:val="0"/>
                <w:sz w:val="18"/>
                <w:szCs w:val="18"/>
              </w:rPr>
              <w:t>重量</w:t>
            </w:r>
            <w:r>
              <w:rPr>
                <w:b/>
                <w:bCs/>
                <w:kern w:val="0"/>
                <w:sz w:val="18"/>
                <w:szCs w:val="18"/>
              </w:rPr>
              <w:br/>
            </w:r>
            <w:r>
              <w:rPr>
                <w:b/>
                <w:bCs/>
                <w:kern w:val="0"/>
                <w:sz w:val="18"/>
                <w:szCs w:val="18"/>
              </w:rPr>
              <w:t>（</w:t>
            </w:r>
            <w:r>
              <w:rPr>
                <w:b/>
                <w:bCs/>
                <w:kern w:val="0"/>
                <w:sz w:val="18"/>
                <w:szCs w:val="18"/>
              </w:rPr>
              <w:t>kg</w:t>
            </w:r>
            <w:r>
              <w:rPr>
                <w:b/>
                <w:bCs/>
                <w:kern w:val="0"/>
                <w:sz w:val="18"/>
                <w:szCs w:val="18"/>
              </w:rPr>
              <w:t>）</w:t>
            </w:r>
          </w:p>
        </w:tc>
      </w:tr>
      <w:tr w:rsidR="002210DD">
        <w:trPr>
          <w:trHeight w:val="340"/>
        </w:trPr>
        <w:tc>
          <w:tcPr>
            <w:tcW w:w="1433"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国标</w:t>
            </w:r>
            <w:r>
              <w:rPr>
                <w:kern w:val="0"/>
                <w:sz w:val="18"/>
                <w:szCs w:val="18"/>
              </w:rPr>
              <w:t>HJ654-2013</w:t>
            </w:r>
          </w:p>
        </w:tc>
        <w:tc>
          <w:tcPr>
            <w:tcW w:w="1666"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SO</w:t>
            </w:r>
            <w:r>
              <w:rPr>
                <w:kern w:val="0"/>
                <w:sz w:val="18"/>
                <w:szCs w:val="18"/>
                <w:vertAlign w:val="subscript"/>
              </w:rPr>
              <w:t>2</w:t>
            </w:r>
            <w:r>
              <w:rPr>
                <w:kern w:val="0"/>
                <w:sz w:val="18"/>
                <w:szCs w:val="18"/>
              </w:rPr>
              <w:t>、</w:t>
            </w:r>
            <w:r>
              <w:rPr>
                <w:kern w:val="0"/>
                <w:sz w:val="18"/>
                <w:szCs w:val="18"/>
              </w:rPr>
              <w:t>NO</w:t>
            </w:r>
            <w:r>
              <w:rPr>
                <w:kern w:val="0"/>
                <w:sz w:val="18"/>
                <w:szCs w:val="18"/>
                <w:vertAlign w:val="subscript"/>
              </w:rPr>
              <w:t>2</w:t>
            </w:r>
            <w:r>
              <w:rPr>
                <w:kern w:val="0"/>
                <w:sz w:val="18"/>
                <w:szCs w:val="18"/>
              </w:rPr>
              <w:t>、</w:t>
            </w:r>
            <w:r>
              <w:rPr>
                <w:kern w:val="0"/>
                <w:sz w:val="18"/>
                <w:szCs w:val="18"/>
              </w:rPr>
              <w:t>O</w:t>
            </w:r>
            <w:r>
              <w:rPr>
                <w:kern w:val="0"/>
                <w:sz w:val="18"/>
                <w:szCs w:val="18"/>
                <w:vertAlign w:val="subscript"/>
              </w:rPr>
              <w:t>3</w:t>
            </w:r>
            <w:r>
              <w:rPr>
                <w:kern w:val="0"/>
                <w:sz w:val="18"/>
                <w:szCs w:val="18"/>
              </w:rPr>
              <w:t>、</w:t>
            </w:r>
            <w:r>
              <w:rPr>
                <w:kern w:val="0"/>
                <w:sz w:val="18"/>
                <w:szCs w:val="18"/>
              </w:rPr>
              <w:t>CO</w:t>
            </w:r>
          </w:p>
        </w:tc>
        <w:tc>
          <w:tcPr>
            <w:tcW w:w="94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w:t>
            </w:r>
          </w:p>
        </w:tc>
        <w:tc>
          <w:tcPr>
            <w:tcW w:w="9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w:t>
            </w:r>
          </w:p>
        </w:tc>
      </w:tr>
      <w:tr w:rsidR="002210DD">
        <w:trPr>
          <w:trHeight w:val="340"/>
        </w:trPr>
        <w:tc>
          <w:tcPr>
            <w:tcW w:w="1433"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proofErr w:type="gramStart"/>
            <w:r>
              <w:rPr>
                <w:kern w:val="0"/>
                <w:sz w:val="18"/>
                <w:szCs w:val="18"/>
              </w:rPr>
              <w:t>环办监测</w:t>
            </w:r>
            <w:proofErr w:type="gramEnd"/>
            <w:r>
              <w:rPr>
                <w:kern w:val="0"/>
                <w:sz w:val="18"/>
                <w:szCs w:val="18"/>
              </w:rPr>
              <w:t>函</w:t>
            </w:r>
            <w:r>
              <w:rPr>
                <w:kern w:val="0"/>
                <w:sz w:val="18"/>
                <w:szCs w:val="18"/>
              </w:rPr>
              <w:t xml:space="preserve"> [2017] 2027</w:t>
            </w:r>
            <w:r>
              <w:rPr>
                <w:kern w:val="0"/>
                <w:sz w:val="18"/>
                <w:szCs w:val="18"/>
              </w:rPr>
              <w:t>号</w:t>
            </w:r>
          </w:p>
        </w:tc>
        <w:tc>
          <w:tcPr>
            <w:tcW w:w="1666"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PM</w:t>
            </w:r>
            <w:r>
              <w:rPr>
                <w:kern w:val="0"/>
                <w:sz w:val="18"/>
                <w:szCs w:val="18"/>
                <w:vertAlign w:val="subscript"/>
              </w:rPr>
              <w:t>2.5</w:t>
            </w:r>
          </w:p>
        </w:tc>
        <w:tc>
          <w:tcPr>
            <w:tcW w:w="94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w:t>
            </w:r>
            <w:r>
              <w:rPr>
                <w:kern w:val="0"/>
                <w:sz w:val="18"/>
                <w:szCs w:val="18"/>
              </w:rPr>
              <w:t>0.05</w:t>
            </w:r>
          </w:p>
        </w:tc>
        <w:tc>
          <w:tcPr>
            <w:tcW w:w="9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w:t>
            </w:r>
            <w:r>
              <w:rPr>
                <w:kern w:val="0"/>
                <w:sz w:val="18"/>
                <w:szCs w:val="18"/>
              </w:rPr>
              <w:t>10</w:t>
            </w:r>
          </w:p>
        </w:tc>
      </w:tr>
      <w:tr w:rsidR="002210DD">
        <w:trPr>
          <w:trHeight w:val="340"/>
        </w:trPr>
        <w:tc>
          <w:tcPr>
            <w:tcW w:w="1433"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河北标准</w:t>
            </w:r>
            <w:r>
              <w:rPr>
                <w:kern w:val="0"/>
                <w:sz w:val="18"/>
                <w:szCs w:val="18"/>
              </w:rPr>
              <w:t>DB13/T2544—2017</w:t>
            </w:r>
          </w:p>
        </w:tc>
        <w:tc>
          <w:tcPr>
            <w:tcW w:w="1666"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SO</w:t>
            </w:r>
            <w:r>
              <w:rPr>
                <w:kern w:val="0"/>
                <w:sz w:val="18"/>
                <w:szCs w:val="18"/>
                <w:vertAlign w:val="subscript"/>
              </w:rPr>
              <w:t>2</w:t>
            </w:r>
            <w:r>
              <w:rPr>
                <w:kern w:val="0"/>
                <w:sz w:val="18"/>
                <w:szCs w:val="18"/>
              </w:rPr>
              <w:t>、</w:t>
            </w:r>
            <w:r>
              <w:rPr>
                <w:kern w:val="0"/>
                <w:sz w:val="18"/>
                <w:szCs w:val="18"/>
              </w:rPr>
              <w:t>NO</w:t>
            </w:r>
            <w:r>
              <w:rPr>
                <w:kern w:val="0"/>
                <w:sz w:val="18"/>
                <w:szCs w:val="18"/>
                <w:vertAlign w:val="subscript"/>
              </w:rPr>
              <w:t>2</w:t>
            </w:r>
            <w:r>
              <w:rPr>
                <w:kern w:val="0"/>
                <w:sz w:val="18"/>
                <w:szCs w:val="18"/>
              </w:rPr>
              <w:t>、</w:t>
            </w:r>
            <w:r>
              <w:rPr>
                <w:kern w:val="0"/>
                <w:sz w:val="18"/>
                <w:szCs w:val="18"/>
              </w:rPr>
              <w:t>O</w:t>
            </w:r>
            <w:r>
              <w:rPr>
                <w:kern w:val="0"/>
                <w:sz w:val="18"/>
                <w:szCs w:val="18"/>
                <w:vertAlign w:val="subscript"/>
              </w:rPr>
              <w:t>3</w:t>
            </w:r>
            <w:r>
              <w:rPr>
                <w:kern w:val="0"/>
                <w:sz w:val="18"/>
                <w:szCs w:val="18"/>
              </w:rPr>
              <w:t>、</w:t>
            </w:r>
            <w:r>
              <w:rPr>
                <w:kern w:val="0"/>
                <w:sz w:val="18"/>
                <w:szCs w:val="18"/>
              </w:rPr>
              <w:t>CO</w:t>
            </w:r>
            <w:r>
              <w:rPr>
                <w:kern w:val="0"/>
                <w:sz w:val="18"/>
                <w:szCs w:val="18"/>
              </w:rPr>
              <w:t>，</w:t>
            </w:r>
            <w:r>
              <w:rPr>
                <w:kern w:val="0"/>
                <w:sz w:val="18"/>
                <w:szCs w:val="18"/>
              </w:rPr>
              <w:br/>
              <w:t>PM</w:t>
            </w:r>
            <w:r>
              <w:rPr>
                <w:kern w:val="0"/>
                <w:sz w:val="18"/>
                <w:szCs w:val="18"/>
                <w:vertAlign w:val="subscript"/>
              </w:rPr>
              <w:t>10</w:t>
            </w:r>
            <w:r>
              <w:rPr>
                <w:kern w:val="0"/>
                <w:sz w:val="18"/>
                <w:szCs w:val="18"/>
              </w:rPr>
              <w:t>、</w:t>
            </w:r>
            <w:r>
              <w:rPr>
                <w:kern w:val="0"/>
                <w:sz w:val="18"/>
                <w:szCs w:val="18"/>
              </w:rPr>
              <w:t>PM</w:t>
            </w:r>
            <w:r>
              <w:rPr>
                <w:kern w:val="0"/>
                <w:sz w:val="18"/>
                <w:szCs w:val="18"/>
                <w:vertAlign w:val="subscript"/>
              </w:rPr>
              <w:t>2.5</w:t>
            </w:r>
            <w:r>
              <w:rPr>
                <w:kern w:val="0"/>
                <w:sz w:val="18"/>
                <w:szCs w:val="18"/>
              </w:rPr>
              <w:t>、</w:t>
            </w:r>
            <w:r>
              <w:rPr>
                <w:kern w:val="0"/>
                <w:sz w:val="18"/>
                <w:szCs w:val="18"/>
              </w:rPr>
              <w:t>TVOC</w:t>
            </w:r>
          </w:p>
        </w:tc>
        <w:tc>
          <w:tcPr>
            <w:tcW w:w="94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w:t>
            </w:r>
            <w:r>
              <w:rPr>
                <w:kern w:val="0"/>
                <w:sz w:val="18"/>
                <w:szCs w:val="18"/>
              </w:rPr>
              <w:t>0.1</w:t>
            </w:r>
          </w:p>
        </w:tc>
        <w:tc>
          <w:tcPr>
            <w:tcW w:w="9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w:t>
            </w:r>
            <w:r>
              <w:rPr>
                <w:kern w:val="0"/>
                <w:sz w:val="18"/>
                <w:szCs w:val="18"/>
              </w:rPr>
              <w:t>5</w:t>
            </w:r>
          </w:p>
        </w:tc>
      </w:tr>
      <w:tr w:rsidR="002210DD">
        <w:trPr>
          <w:trHeight w:val="340"/>
        </w:trPr>
        <w:tc>
          <w:tcPr>
            <w:tcW w:w="1433"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rFonts w:hint="eastAsia"/>
                <w:kern w:val="0"/>
                <w:sz w:val="18"/>
                <w:szCs w:val="18"/>
              </w:rPr>
              <w:t>比对测试结果</w:t>
            </w:r>
            <w:r>
              <w:rPr>
                <w:kern w:val="0"/>
                <w:sz w:val="18"/>
                <w:szCs w:val="18"/>
              </w:rPr>
              <w:br/>
            </w:r>
            <w:r>
              <w:rPr>
                <w:kern w:val="0"/>
                <w:sz w:val="18"/>
                <w:szCs w:val="18"/>
              </w:rPr>
              <w:t>（</w:t>
            </w:r>
            <w:r>
              <w:rPr>
                <w:kern w:val="0"/>
                <w:sz w:val="18"/>
                <w:szCs w:val="18"/>
              </w:rPr>
              <w:t>13</w:t>
            </w:r>
            <w:r>
              <w:rPr>
                <w:kern w:val="0"/>
                <w:sz w:val="18"/>
                <w:szCs w:val="18"/>
              </w:rPr>
              <w:t>台设备）</w:t>
            </w:r>
          </w:p>
        </w:tc>
        <w:tc>
          <w:tcPr>
            <w:tcW w:w="1666"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SO</w:t>
            </w:r>
            <w:r>
              <w:rPr>
                <w:kern w:val="0"/>
                <w:sz w:val="18"/>
                <w:szCs w:val="18"/>
                <w:vertAlign w:val="subscript"/>
              </w:rPr>
              <w:t>2</w:t>
            </w:r>
            <w:r>
              <w:rPr>
                <w:kern w:val="0"/>
                <w:sz w:val="18"/>
                <w:szCs w:val="18"/>
              </w:rPr>
              <w:t>、</w:t>
            </w:r>
            <w:r>
              <w:rPr>
                <w:kern w:val="0"/>
                <w:sz w:val="18"/>
                <w:szCs w:val="18"/>
              </w:rPr>
              <w:t>NO</w:t>
            </w:r>
            <w:r>
              <w:rPr>
                <w:kern w:val="0"/>
                <w:sz w:val="18"/>
                <w:szCs w:val="18"/>
                <w:vertAlign w:val="subscript"/>
              </w:rPr>
              <w:t>2</w:t>
            </w:r>
            <w:r>
              <w:rPr>
                <w:kern w:val="0"/>
                <w:sz w:val="18"/>
                <w:szCs w:val="18"/>
              </w:rPr>
              <w:t>、</w:t>
            </w:r>
            <w:r>
              <w:rPr>
                <w:kern w:val="0"/>
                <w:sz w:val="18"/>
                <w:szCs w:val="18"/>
              </w:rPr>
              <w:t>O</w:t>
            </w:r>
            <w:r>
              <w:rPr>
                <w:kern w:val="0"/>
                <w:sz w:val="18"/>
                <w:szCs w:val="18"/>
                <w:vertAlign w:val="subscript"/>
              </w:rPr>
              <w:t>3</w:t>
            </w:r>
            <w:r>
              <w:rPr>
                <w:kern w:val="0"/>
                <w:sz w:val="18"/>
                <w:szCs w:val="18"/>
              </w:rPr>
              <w:t>、</w:t>
            </w:r>
            <w:r>
              <w:rPr>
                <w:kern w:val="0"/>
                <w:sz w:val="18"/>
                <w:szCs w:val="18"/>
              </w:rPr>
              <w:t>CO</w:t>
            </w:r>
            <w:r>
              <w:rPr>
                <w:kern w:val="0"/>
                <w:sz w:val="18"/>
                <w:szCs w:val="18"/>
              </w:rPr>
              <w:t>，</w:t>
            </w:r>
            <w:r>
              <w:rPr>
                <w:kern w:val="0"/>
                <w:sz w:val="18"/>
                <w:szCs w:val="18"/>
              </w:rPr>
              <w:br/>
              <w:t>PM</w:t>
            </w:r>
            <w:r>
              <w:rPr>
                <w:kern w:val="0"/>
                <w:sz w:val="18"/>
                <w:szCs w:val="18"/>
                <w:vertAlign w:val="subscript"/>
              </w:rPr>
              <w:t>10</w:t>
            </w:r>
            <w:r>
              <w:rPr>
                <w:kern w:val="0"/>
                <w:sz w:val="18"/>
                <w:szCs w:val="18"/>
              </w:rPr>
              <w:t>、</w:t>
            </w:r>
            <w:r>
              <w:rPr>
                <w:kern w:val="0"/>
                <w:sz w:val="18"/>
                <w:szCs w:val="18"/>
              </w:rPr>
              <w:t>PM</w:t>
            </w:r>
            <w:r>
              <w:rPr>
                <w:kern w:val="0"/>
                <w:sz w:val="18"/>
                <w:szCs w:val="18"/>
                <w:vertAlign w:val="subscript"/>
              </w:rPr>
              <w:t>2.5</w:t>
            </w:r>
          </w:p>
        </w:tc>
        <w:tc>
          <w:tcPr>
            <w:tcW w:w="949"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w:t>
            </w:r>
          </w:p>
        </w:tc>
        <w:tc>
          <w:tcPr>
            <w:tcW w:w="950"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w:t>
            </w:r>
          </w:p>
        </w:tc>
      </w:tr>
      <w:tr w:rsidR="002210DD">
        <w:trPr>
          <w:trHeight w:val="340"/>
        </w:trPr>
        <w:tc>
          <w:tcPr>
            <w:tcW w:w="1433"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本规范</w:t>
            </w:r>
          </w:p>
        </w:tc>
        <w:tc>
          <w:tcPr>
            <w:tcW w:w="1666"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SO</w:t>
            </w:r>
            <w:r>
              <w:rPr>
                <w:kern w:val="0"/>
                <w:sz w:val="18"/>
                <w:szCs w:val="18"/>
                <w:vertAlign w:val="subscript"/>
              </w:rPr>
              <w:t>2</w:t>
            </w:r>
            <w:r>
              <w:rPr>
                <w:kern w:val="0"/>
                <w:sz w:val="18"/>
                <w:szCs w:val="18"/>
              </w:rPr>
              <w:t>、</w:t>
            </w:r>
            <w:r>
              <w:rPr>
                <w:kern w:val="0"/>
                <w:sz w:val="18"/>
                <w:szCs w:val="18"/>
              </w:rPr>
              <w:t>NO</w:t>
            </w:r>
            <w:r>
              <w:rPr>
                <w:kern w:val="0"/>
                <w:sz w:val="18"/>
                <w:szCs w:val="18"/>
                <w:vertAlign w:val="subscript"/>
              </w:rPr>
              <w:t>2</w:t>
            </w:r>
            <w:r>
              <w:rPr>
                <w:kern w:val="0"/>
                <w:sz w:val="18"/>
                <w:szCs w:val="18"/>
              </w:rPr>
              <w:t>、</w:t>
            </w:r>
            <w:r>
              <w:rPr>
                <w:kern w:val="0"/>
                <w:sz w:val="18"/>
                <w:szCs w:val="18"/>
              </w:rPr>
              <w:t>O</w:t>
            </w:r>
            <w:r>
              <w:rPr>
                <w:kern w:val="0"/>
                <w:sz w:val="18"/>
                <w:szCs w:val="18"/>
                <w:vertAlign w:val="subscript"/>
              </w:rPr>
              <w:t>3</w:t>
            </w:r>
            <w:r>
              <w:rPr>
                <w:kern w:val="0"/>
                <w:sz w:val="18"/>
                <w:szCs w:val="18"/>
              </w:rPr>
              <w:t>、</w:t>
            </w:r>
            <w:r>
              <w:rPr>
                <w:kern w:val="0"/>
                <w:sz w:val="18"/>
                <w:szCs w:val="18"/>
              </w:rPr>
              <w:t>CO</w:t>
            </w:r>
            <w:r>
              <w:rPr>
                <w:kern w:val="0"/>
                <w:sz w:val="18"/>
                <w:szCs w:val="18"/>
              </w:rPr>
              <w:t>，</w:t>
            </w:r>
            <w:r>
              <w:rPr>
                <w:kern w:val="0"/>
                <w:sz w:val="18"/>
                <w:szCs w:val="18"/>
              </w:rPr>
              <w:br/>
              <w:t>NO</w:t>
            </w:r>
          </w:p>
        </w:tc>
        <w:tc>
          <w:tcPr>
            <w:tcW w:w="1582"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w:t>
            </w:r>
          </w:p>
        </w:tc>
        <w:tc>
          <w:tcPr>
            <w:tcW w:w="1585"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adjustRightInd w:val="0"/>
              <w:textAlignment w:val="baseline"/>
              <w:rPr>
                <w:kern w:val="0"/>
                <w:sz w:val="18"/>
                <w:szCs w:val="18"/>
              </w:rPr>
            </w:pPr>
            <w:r>
              <w:rPr>
                <w:kern w:val="0"/>
                <w:sz w:val="18"/>
                <w:szCs w:val="18"/>
              </w:rPr>
              <w:t>/</w:t>
            </w:r>
          </w:p>
        </w:tc>
      </w:tr>
    </w:tbl>
    <w:p w:rsidR="002210DD" w:rsidRDefault="002210DD">
      <w:pPr>
        <w:ind w:firstLineChars="0" w:firstLine="0"/>
      </w:pPr>
    </w:p>
    <w:p w:rsidR="002210DD" w:rsidRDefault="00A205B8">
      <w:pPr>
        <w:ind w:firstLine="480"/>
      </w:pPr>
      <w:r>
        <w:t>由于环境空气气态污染物（</w:t>
      </w:r>
      <w:r>
        <w:t>SO2</w:t>
      </w:r>
      <w:r>
        <w:t>、</w:t>
      </w:r>
      <w:r>
        <w:t>NO2</w:t>
      </w:r>
      <w:r>
        <w:t>、</w:t>
      </w:r>
      <w:r>
        <w:t>NO</w:t>
      </w:r>
      <w:r>
        <w:t>、</w:t>
      </w:r>
      <w:r>
        <w:t>O3</w:t>
      </w:r>
      <w:r>
        <w:t>、</w:t>
      </w:r>
      <w:r>
        <w:t>CO</w:t>
      </w:r>
      <w:r>
        <w:t>）传感器法自动监测系统中的监测单元安装和位置动态调整需要，以及监测单元安装条件要求，设备需要小型化、一体化设计。《大气</w:t>
      </w:r>
      <w:r>
        <w:t>PM</w:t>
      </w:r>
      <w:r>
        <w:rPr>
          <w:vertAlign w:val="subscript"/>
        </w:rPr>
        <w:t>2.5</w:t>
      </w:r>
      <w:r>
        <w:t>网格化监测技术要求和检测方法技术规范》（</w:t>
      </w:r>
      <w:proofErr w:type="gramStart"/>
      <w:r>
        <w:t>环办监测</w:t>
      </w:r>
      <w:proofErr w:type="gramEnd"/>
      <w:r>
        <w:t>函</w:t>
      </w:r>
      <w:r>
        <w:t>[2017]2027</w:t>
      </w:r>
      <w:r>
        <w:t>号）的</w:t>
      </w:r>
      <w:r>
        <w:t>5.1.3</w:t>
      </w:r>
      <w:r>
        <w:t>要求</w:t>
      </w:r>
      <w:r>
        <w:t>PM</w:t>
      </w:r>
      <w:r>
        <w:rPr>
          <w:vertAlign w:val="subscript"/>
        </w:rPr>
        <w:t>2.5</w:t>
      </w:r>
      <w:r>
        <w:t>网格化监测设备的总体积小于</w:t>
      </w:r>
      <w:r>
        <w:t>0.02m³</w:t>
      </w:r>
      <w:r>
        <w:t>、重量小于</w:t>
      </w:r>
      <w:r>
        <w:t>10kg</w:t>
      </w:r>
      <w:r>
        <w:t>。《大气污染防治网格化监测系统技术要求及检测方法》（</w:t>
      </w:r>
      <w:r>
        <w:t>DB13/T2544—2017</w:t>
      </w:r>
      <w:r>
        <w:t>）的</w:t>
      </w:r>
      <w:r>
        <w:t>3.2</w:t>
      </w:r>
      <w:r>
        <w:t>要求微型空气监测站的监测设备体积小于</w:t>
      </w:r>
      <w:r>
        <w:t>0.1m³</w:t>
      </w:r>
      <w:r>
        <w:t>，重量小于</w:t>
      </w:r>
      <w:r>
        <w:t>5kg</w:t>
      </w:r>
      <w:r>
        <w:t>。本规范对气体污染物（</w:t>
      </w:r>
      <w:r>
        <w:t>SO</w:t>
      </w:r>
      <w:r>
        <w:rPr>
          <w:vertAlign w:val="subscript"/>
        </w:rPr>
        <w:t>2</w:t>
      </w:r>
      <w:r>
        <w:t>、</w:t>
      </w:r>
      <w:r>
        <w:t>NO</w:t>
      </w:r>
      <w:r>
        <w:rPr>
          <w:vertAlign w:val="subscript"/>
        </w:rPr>
        <w:t>2</w:t>
      </w:r>
      <w:r>
        <w:t>、</w:t>
      </w:r>
      <w:r>
        <w:t>NO</w:t>
      </w:r>
      <w:r>
        <w:t>、</w:t>
      </w:r>
      <w:r>
        <w:t>O</w:t>
      </w:r>
      <w:r>
        <w:rPr>
          <w:vertAlign w:val="subscript"/>
        </w:rPr>
        <w:t>3</w:t>
      </w:r>
      <w:r>
        <w:t>、</w:t>
      </w:r>
      <w:r>
        <w:t>CO</w:t>
      </w:r>
      <w:r>
        <w:t>）网格化监测设备的总体积和重量不做具体限制。</w:t>
      </w:r>
    </w:p>
    <w:p w:rsidR="002210DD" w:rsidRDefault="00A205B8">
      <w:pPr>
        <w:pStyle w:val="3"/>
      </w:pPr>
      <w:r>
        <w:t>工作条件</w:t>
      </w:r>
    </w:p>
    <w:p w:rsidR="002210DD" w:rsidRDefault="00A205B8">
      <w:pPr>
        <w:ind w:firstLine="480"/>
      </w:pPr>
      <w:r>
        <w:t>（</w:t>
      </w:r>
      <w:r>
        <w:t>1</w:t>
      </w:r>
      <w:r>
        <w:t>）室外环境温度</w:t>
      </w:r>
    </w:p>
    <w:p w:rsidR="002210DD" w:rsidRDefault="00A205B8">
      <w:pPr>
        <w:ind w:firstLine="480"/>
        <w:rPr>
          <w:szCs w:val="24"/>
        </w:rPr>
      </w:pPr>
      <w:r>
        <w:rPr>
          <w:szCs w:val="24"/>
        </w:rPr>
        <w:t>（</w:t>
      </w:r>
      <w:r>
        <w:rPr>
          <w:szCs w:val="24"/>
        </w:rPr>
        <w:t>-</w:t>
      </w:r>
      <w:r>
        <w:rPr>
          <w:rFonts w:hint="eastAsia"/>
          <w:szCs w:val="24"/>
        </w:rPr>
        <w:t>2</w:t>
      </w:r>
      <w:r>
        <w:rPr>
          <w:szCs w:val="24"/>
        </w:rPr>
        <w:t>0~5</w:t>
      </w:r>
      <w:r>
        <w:rPr>
          <w:rFonts w:hint="eastAsia"/>
          <w:szCs w:val="24"/>
        </w:rPr>
        <w:t>0</w:t>
      </w:r>
      <w:r>
        <w:rPr>
          <w:szCs w:val="24"/>
        </w:rPr>
        <w:t>）</w:t>
      </w:r>
      <w:r>
        <w:rPr>
          <w:szCs w:val="24"/>
        </w:rPr>
        <w:t>℃</w:t>
      </w:r>
      <w:r>
        <w:rPr>
          <w:szCs w:val="24"/>
        </w:rPr>
        <w:t>。</w:t>
      </w:r>
    </w:p>
    <w:p w:rsidR="002210DD" w:rsidRDefault="00A205B8">
      <w:pPr>
        <w:ind w:firstLine="480"/>
        <w:rPr>
          <w:szCs w:val="24"/>
        </w:rPr>
      </w:pPr>
      <w:r>
        <w:t>绝大多数气体传感器对环境温度是敏感的。其原因是无论化学反应、电子元器件，还是无机和有机材料，性能参数都会随温度而变化。电化学传感器的温度范围稍微</w:t>
      </w:r>
      <w:proofErr w:type="gramStart"/>
      <w:r>
        <w:t>窄</w:t>
      </w:r>
      <w:proofErr w:type="gramEnd"/>
      <w:r>
        <w:t>一点，一般是</w:t>
      </w:r>
      <w:r>
        <w:t>-20℃</w:t>
      </w:r>
      <w:r>
        <w:t>到</w:t>
      </w:r>
      <w:r>
        <w:t>55℃</w:t>
      </w:r>
      <w:r>
        <w:t>。型号比较新的传感器可以做到在低温</w:t>
      </w:r>
      <w:r>
        <w:t>-40℃</w:t>
      </w:r>
      <w:r>
        <w:t>工作。但是，电化学传感器无法长时间在高温环境工作，主要是因为电化学传感器内部有酸性或碱性的液体，在高温的环境中水分会蒸发或迅速增加，从而造成电解液损失或漏液，最终导致传感器灵敏度衰减。本规范综合当前气态污染物（</w:t>
      </w:r>
      <w:r>
        <w:t>SO</w:t>
      </w:r>
      <w:r>
        <w:rPr>
          <w:vertAlign w:val="subscript"/>
        </w:rPr>
        <w:t>2</w:t>
      </w:r>
      <w:r>
        <w:t>、</w:t>
      </w:r>
      <w:r>
        <w:t>NO</w:t>
      </w:r>
      <w:r>
        <w:rPr>
          <w:vertAlign w:val="subscript"/>
        </w:rPr>
        <w:t>2</w:t>
      </w:r>
      <w:r>
        <w:t>、</w:t>
      </w:r>
      <w:r>
        <w:t>NO</w:t>
      </w:r>
      <w:r>
        <w:t>、</w:t>
      </w:r>
      <w:r>
        <w:t>O</w:t>
      </w:r>
      <w:r>
        <w:rPr>
          <w:vertAlign w:val="subscript"/>
        </w:rPr>
        <w:t>3</w:t>
      </w:r>
      <w:r>
        <w:t>、</w:t>
      </w:r>
      <w:r>
        <w:t>CO</w:t>
      </w:r>
      <w:r>
        <w:t>）网格化监测设备的实际要求，同时考虑长三角区</w:t>
      </w:r>
      <w:proofErr w:type="gramStart"/>
      <w:r>
        <w:t>域</w:t>
      </w:r>
      <w:r>
        <w:lastRenderedPageBreak/>
        <w:t>城市</w:t>
      </w:r>
      <w:proofErr w:type="gramEnd"/>
      <w:r>
        <w:t>的常年温度，规定工作环境温度为</w:t>
      </w:r>
      <w:r>
        <w:rPr>
          <w:szCs w:val="24"/>
        </w:rPr>
        <w:t>（</w:t>
      </w:r>
      <w:r>
        <w:rPr>
          <w:szCs w:val="24"/>
        </w:rPr>
        <w:t>-</w:t>
      </w:r>
      <w:r>
        <w:rPr>
          <w:rFonts w:hint="eastAsia"/>
          <w:szCs w:val="24"/>
        </w:rPr>
        <w:t>2</w:t>
      </w:r>
      <w:r>
        <w:rPr>
          <w:szCs w:val="24"/>
        </w:rPr>
        <w:t>0~5</w:t>
      </w:r>
      <w:r>
        <w:rPr>
          <w:rFonts w:hint="eastAsia"/>
          <w:szCs w:val="24"/>
        </w:rPr>
        <w:t>0</w:t>
      </w:r>
      <w:r>
        <w:rPr>
          <w:szCs w:val="24"/>
        </w:rPr>
        <w:t>）</w:t>
      </w:r>
      <w:r>
        <w:rPr>
          <w:szCs w:val="24"/>
        </w:rPr>
        <w:t>℃</w:t>
      </w:r>
      <w:r>
        <w:rPr>
          <w:szCs w:val="24"/>
        </w:rPr>
        <w:t>。</w:t>
      </w:r>
    </w:p>
    <w:p w:rsidR="002210DD" w:rsidRDefault="00A205B8">
      <w:pPr>
        <w:ind w:firstLine="480"/>
      </w:pPr>
      <w:r>
        <w:t>（</w:t>
      </w:r>
      <w:r>
        <w:t>2</w:t>
      </w:r>
      <w:r>
        <w:t>）相对湿度</w:t>
      </w:r>
    </w:p>
    <w:p w:rsidR="002210DD" w:rsidRDefault="00A205B8">
      <w:pPr>
        <w:ind w:firstLine="480"/>
      </w:pPr>
      <w:r>
        <w:rPr>
          <w:szCs w:val="24"/>
        </w:rPr>
        <w:t>（</w:t>
      </w:r>
      <w:r>
        <w:rPr>
          <w:szCs w:val="24"/>
        </w:rPr>
        <w:t>15</w:t>
      </w:r>
      <w:r>
        <w:t>~</w:t>
      </w:r>
      <w:r>
        <w:rPr>
          <w:rFonts w:hint="eastAsia"/>
        </w:rPr>
        <w:t>95</w:t>
      </w:r>
      <w:r>
        <w:rPr>
          <w:szCs w:val="24"/>
        </w:rPr>
        <w:t>）</w:t>
      </w:r>
      <w:r>
        <w:t>%RH</w:t>
      </w:r>
      <w:r>
        <w:t>（无凝露）。</w:t>
      </w:r>
    </w:p>
    <w:p w:rsidR="002210DD" w:rsidRDefault="00A205B8">
      <w:pPr>
        <w:ind w:firstLine="480"/>
      </w:pPr>
      <w:r>
        <w:t>电化学传感器湿度范围较宽，一般能够长期使用的范围是</w:t>
      </w:r>
      <w:r>
        <w:t>15%RH</w:t>
      </w:r>
      <w:r>
        <w:t>到</w:t>
      </w:r>
      <w:r>
        <w:t>85%RH</w:t>
      </w:r>
      <w:r>
        <w:t>。当湿度小于</w:t>
      </w:r>
      <w:r>
        <w:t>15%RH</w:t>
      </w:r>
      <w:r>
        <w:t>的时候，如果长期使用，传感器内电解液逐渐失水，催化剂慢慢变干，气体催化的效率和离子转移的效率会变低，最终导致灵敏度变低。本规范综合当前气态污染物（</w:t>
      </w:r>
      <w:r>
        <w:t>SO</w:t>
      </w:r>
      <w:r>
        <w:rPr>
          <w:vertAlign w:val="subscript"/>
        </w:rPr>
        <w:t>2</w:t>
      </w:r>
      <w:r>
        <w:t>、</w:t>
      </w:r>
      <w:r>
        <w:t>NO</w:t>
      </w:r>
      <w:r>
        <w:rPr>
          <w:vertAlign w:val="subscript"/>
        </w:rPr>
        <w:t>2</w:t>
      </w:r>
      <w:r>
        <w:t>、</w:t>
      </w:r>
      <w:r>
        <w:t>NO</w:t>
      </w:r>
      <w:r>
        <w:t>、</w:t>
      </w:r>
      <w:r>
        <w:t>O</w:t>
      </w:r>
      <w:r>
        <w:rPr>
          <w:vertAlign w:val="subscript"/>
        </w:rPr>
        <w:t>3</w:t>
      </w:r>
      <w:r>
        <w:t>、</w:t>
      </w:r>
      <w:r>
        <w:t>CO</w:t>
      </w:r>
      <w:r>
        <w:t>）网格化监测设备的实际要求，同时考虑长三角区</w:t>
      </w:r>
      <w:proofErr w:type="gramStart"/>
      <w:r>
        <w:t>域城市</w:t>
      </w:r>
      <w:proofErr w:type="gramEnd"/>
      <w:r>
        <w:t>的常年相对湿度，规定工作环境相对湿度为</w:t>
      </w:r>
      <w:r>
        <w:rPr>
          <w:szCs w:val="24"/>
        </w:rPr>
        <w:t>（</w:t>
      </w:r>
      <w:r>
        <w:rPr>
          <w:szCs w:val="24"/>
        </w:rPr>
        <w:t>15%</w:t>
      </w:r>
      <w:r>
        <w:t>~</w:t>
      </w:r>
      <w:r>
        <w:rPr>
          <w:rFonts w:hint="eastAsia"/>
        </w:rPr>
        <w:t>100</w:t>
      </w:r>
      <w:r>
        <w:t>%</w:t>
      </w:r>
      <w:r>
        <w:rPr>
          <w:szCs w:val="24"/>
        </w:rPr>
        <w:t>）</w:t>
      </w:r>
      <w:r>
        <w:t>RH</w:t>
      </w:r>
      <w:r>
        <w:t>（无凝露）。</w:t>
      </w:r>
    </w:p>
    <w:p w:rsidR="002210DD" w:rsidRDefault="00A205B8">
      <w:pPr>
        <w:ind w:firstLine="480"/>
      </w:pPr>
      <w:r>
        <w:t>（</w:t>
      </w:r>
      <w:r>
        <w:t>3</w:t>
      </w:r>
      <w:r>
        <w:t>）大气压：（</w:t>
      </w:r>
      <w:r>
        <w:t>80~106</w:t>
      </w:r>
      <w:r>
        <w:t>）</w:t>
      </w:r>
      <w:r>
        <w:t>kPa</w:t>
      </w:r>
      <w:r>
        <w:t>；</w:t>
      </w:r>
    </w:p>
    <w:p w:rsidR="002210DD" w:rsidRDefault="00A205B8">
      <w:pPr>
        <w:ind w:firstLine="480"/>
      </w:pPr>
      <w:r>
        <w:t>（</w:t>
      </w:r>
      <w:r>
        <w:t>4</w:t>
      </w:r>
      <w:r>
        <w:t>）供电电压：</w:t>
      </w:r>
      <w:r>
        <w:rPr>
          <w:rFonts w:hint="eastAsia"/>
        </w:rPr>
        <w:t>AC</w:t>
      </w:r>
      <w:r>
        <w:t>（</w:t>
      </w:r>
      <w:r>
        <w:t>220±22</w:t>
      </w:r>
      <w:r>
        <w:t>）</w:t>
      </w:r>
      <w:r>
        <w:t>V</w:t>
      </w:r>
      <w:r>
        <w:t>，（</w:t>
      </w:r>
      <w:r>
        <w:t>50±1</w:t>
      </w:r>
      <w:r>
        <w:t>）</w:t>
      </w:r>
      <w:r>
        <w:t>Hz</w:t>
      </w:r>
      <w:r>
        <w:t>。</w:t>
      </w:r>
    </w:p>
    <w:p w:rsidR="002210DD" w:rsidRDefault="00A205B8">
      <w:pPr>
        <w:ind w:firstLine="480"/>
      </w:pPr>
      <w:r>
        <w:t>大气压、供电电压的</w:t>
      </w:r>
      <w:proofErr w:type="gramStart"/>
      <w:r>
        <w:t>的</w:t>
      </w:r>
      <w:proofErr w:type="gramEnd"/>
      <w:r>
        <w:t>要求参考了《环境空气气态污染物</w:t>
      </w:r>
      <w:r>
        <w:rPr>
          <w:szCs w:val="24"/>
        </w:rPr>
        <w:t>（</w:t>
      </w:r>
      <w:r>
        <w:rPr>
          <w:szCs w:val="24"/>
        </w:rPr>
        <w:t>SO</w:t>
      </w:r>
      <w:r>
        <w:rPr>
          <w:szCs w:val="24"/>
          <w:vertAlign w:val="subscript"/>
        </w:rPr>
        <w:t>2</w:t>
      </w:r>
      <w:r>
        <w:rPr>
          <w:szCs w:val="24"/>
        </w:rPr>
        <w:t>、</w:t>
      </w:r>
      <w:r>
        <w:rPr>
          <w:szCs w:val="24"/>
        </w:rPr>
        <w:t>NO</w:t>
      </w:r>
      <w:r>
        <w:rPr>
          <w:szCs w:val="24"/>
          <w:vertAlign w:val="subscript"/>
        </w:rPr>
        <w:t>2</w:t>
      </w:r>
      <w:r>
        <w:rPr>
          <w:szCs w:val="24"/>
        </w:rPr>
        <w:t>、</w:t>
      </w:r>
      <w:r>
        <w:rPr>
          <w:szCs w:val="24"/>
        </w:rPr>
        <w:t>O</w:t>
      </w:r>
      <w:r>
        <w:rPr>
          <w:szCs w:val="24"/>
          <w:vertAlign w:val="subscript"/>
        </w:rPr>
        <w:t>3</w:t>
      </w:r>
      <w:r>
        <w:rPr>
          <w:szCs w:val="24"/>
        </w:rPr>
        <w:t>、</w:t>
      </w:r>
      <w:r>
        <w:rPr>
          <w:szCs w:val="24"/>
        </w:rPr>
        <w:t>CO</w:t>
      </w:r>
      <w:r>
        <w:rPr>
          <w:szCs w:val="24"/>
        </w:rPr>
        <w:t>）</w:t>
      </w:r>
      <w:r>
        <w:t>连续自动监测系统技术要求及检测方法》（</w:t>
      </w:r>
      <w:r>
        <w:t>HJ654-2013</w:t>
      </w:r>
      <w:r>
        <w:t>）的</w:t>
      </w:r>
      <w:r>
        <w:t>5.1.2</w:t>
      </w:r>
      <w:r>
        <w:t>条要求。供电电压是对监测设备采用市政供电方式的情况下的要求。</w:t>
      </w:r>
    </w:p>
    <w:p w:rsidR="002210DD" w:rsidRDefault="00A205B8">
      <w:pPr>
        <w:pStyle w:val="a7"/>
        <w:spacing w:before="156"/>
      </w:pPr>
      <w:r>
        <w:t>表</w:t>
      </w:r>
      <w:r>
        <w:t xml:space="preserve">5.4-2  </w:t>
      </w:r>
      <w:r>
        <w:t>监测设备工作条件对比</w:t>
      </w:r>
    </w:p>
    <w:tbl>
      <w:tblPr>
        <w:tblpPr w:leftFromText="180" w:rightFromText="180" w:vertAnchor="text" w:horzAnchor="page" w:tblpX="1865" w:tblpY="76"/>
        <w:tblOverlap w:val="never"/>
        <w:tblW w:w="5000" w:type="pct"/>
        <w:tblCellMar>
          <w:left w:w="0" w:type="dxa"/>
          <w:right w:w="0" w:type="dxa"/>
        </w:tblCellMar>
        <w:tblLook w:val="04A0" w:firstRow="1" w:lastRow="0" w:firstColumn="1" w:lastColumn="0" w:noHBand="0" w:noVBand="1"/>
      </w:tblPr>
      <w:tblGrid>
        <w:gridCol w:w="1869"/>
        <w:gridCol w:w="1926"/>
        <w:gridCol w:w="999"/>
        <w:gridCol w:w="1231"/>
        <w:gridCol w:w="802"/>
        <w:gridCol w:w="760"/>
        <w:gridCol w:w="709"/>
      </w:tblGrid>
      <w:tr w:rsidR="002210DD">
        <w:trPr>
          <w:trHeight w:val="340"/>
        </w:trPr>
        <w:tc>
          <w:tcPr>
            <w:tcW w:w="1127"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规范名称</w:t>
            </w:r>
          </w:p>
        </w:tc>
        <w:tc>
          <w:tcPr>
            <w:tcW w:w="1161"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监测因子</w:t>
            </w:r>
          </w:p>
        </w:tc>
        <w:tc>
          <w:tcPr>
            <w:tcW w:w="602"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环境温度</w:t>
            </w:r>
          </w:p>
          <w:p w:rsidR="002210DD" w:rsidRDefault="00A205B8">
            <w:pPr>
              <w:spacing w:line="240" w:lineRule="auto"/>
              <w:ind w:firstLineChars="0" w:firstLine="0"/>
              <w:jc w:val="center"/>
              <w:rPr>
                <w:b/>
                <w:bCs/>
                <w:sz w:val="21"/>
              </w:rPr>
            </w:pPr>
            <w:r>
              <w:rPr>
                <w:b/>
                <w:bCs/>
                <w:sz w:val="21"/>
              </w:rPr>
              <w:t>（</w:t>
            </w:r>
            <w:r>
              <w:rPr>
                <w:b/>
                <w:bCs/>
                <w:sz w:val="21"/>
              </w:rPr>
              <w:t>℃</w:t>
            </w:r>
            <w:r>
              <w:rPr>
                <w:b/>
                <w:bCs/>
                <w:sz w:val="21"/>
              </w:rPr>
              <w:t>）</w:t>
            </w:r>
          </w:p>
        </w:tc>
        <w:tc>
          <w:tcPr>
            <w:tcW w:w="742"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相对湿度</w:t>
            </w:r>
            <w:r>
              <w:rPr>
                <w:b/>
                <w:bCs/>
                <w:sz w:val="21"/>
              </w:rPr>
              <w:br/>
            </w:r>
            <w:r>
              <w:rPr>
                <w:b/>
                <w:bCs/>
                <w:sz w:val="21"/>
              </w:rPr>
              <w:t>（</w:t>
            </w:r>
            <w:r>
              <w:rPr>
                <w:b/>
                <w:bCs/>
                <w:sz w:val="21"/>
              </w:rPr>
              <w:t>%</w:t>
            </w:r>
            <w:r>
              <w:rPr>
                <w:b/>
                <w:bCs/>
                <w:sz w:val="21"/>
              </w:rPr>
              <w:t>，无凝露）</w:t>
            </w:r>
          </w:p>
        </w:tc>
        <w:tc>
          <w:tcPr>
            <w:tcW w:w="481"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大气压</w:t>
            </w:r>
          </w:p>
          <w:p w:rsidR="002210DD" w:rsidRDefault="00A205B8">
            <w:pPr>
              <w:spacing w:line="240" w:lineRule="auto"/>
              <w:ind w:firstLineChars="0" w:firstLine="0"/>
              <w:jc w:val="center"/>
              <w:rPr>
                <w:b/>
                <w:bCs/>
                <w:sz w:val="21"/>
              </w:rPr>
            </w:pPr>
            <w:r>
              <w:rPr>
                <w:b/>
                <w:bCs/>
                <w:sz w:val="21"/>
              </w:rPr>
              <w:t>（</w:t>
            </w:r>
            <w:r>
              <w:rPr>
                <w:b/>
                <w:bCs/>
                <w:sz w:val="21"/>
              </w:rPr>
              <w:t>kPa</w:t>
            </w:r>
            <w:r>
              <w:rPr>
                <w:b/>
                <w:bCs/>
                <w:sz w:val="21"/>
              </w:rPr>
              <w:t>）</w:t>
            </w:r>
          </w:p>
        </w:tc>
        <w:tc>
          <w:tcPr>
            <w:tcW w:w="885"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供电电压</w:t>
            </w:r>
          </w:p>
        </w:tc>
      </w:tr>
      <w:tr w:rsidR="002210DD">
        <w:trPr>
          <w:trHeight w:val="340"/>
        </w:trPr>
        <w:tc>
          <w:tcPr>
            <w:tcW w:w="1127"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b/>
                <w:bCs/>
                <w:sz w:val="21"/>
              </w:rPr>
            </w:pPr>
          </w:p>
        </w:tc>
        <w:tc>
          <w:tcPr>
            <w:tcW w:w="1161"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b/>
                <w:bCs/>
                <w:sz w:val="21"/>
              </w:rPr>
            </w:pPr>
          </w:p>
        </w:tc>
        <w:tc>
          <w:tcPr>
            <w:tcW w:w="602"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b/>
                <w:bCs/>
                <w:sz w:val="21"/>
              </w:rPr>
            </w:pPr>
          </w:p>
        </w:tc>
        <w:tc>
          <w:tcPr>
            <w:tcW w:w="742"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b/>
                <w:bCs/>
                <w:sz w:val="21"/>
              </w:rPr>
            </w:pPr>
          </w:p>
        </w:tc>
        <w:tc>
          <w:tcPr>
            <w:tcW w:w="481"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b/>
                <w:bCs/>
                <w:sz w:val="21"/>
              </w:rPr>
            </w:pPr>
          </w:p>
        </w:tc>
        <w:tc>
          <w:tcPr>
            <w:tcW w:w="45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电压</w:t>
            </w:r>
          </w:p>
          <w:p w:rsidR="002210DD" w:rsidRDefault="00A205B8">
            <w:pPr>
              <w:spacing w:line="240" w:lineRule="auto"/>
              <w:ind w:firstLineChars="0" w:firstLine="0"/>
              <w:jc w:val="center"/>
              <w:rPr>
                <w:b/>
                <w:bCs/>
                <w:sz w:val="21"/>
              </w:rPr>
            </w:pPr>
            <w:r>
              <w:rPr>
                <w:b/>
                <w:bCs/>
                <w:sz w:val="21"/>
              </w:rPr>
              <w:t>（</w:t>
            </w:r>
            <w:r>
              <w:rPr>
                <w:b/>
                <w:bCs/>
                <w:sz w:val="21"/>
              </w:rPr>
              <w:t>V</w:t>
            </w:r>
            <w:r>
              <w:rPr>
                <w:b/>
                <w:bCs/>
                <w:sz w:val="21"/>
              </w:rPr>
              <w:t>）</w:t>
            </w:r>
          </w:p>
        </w:tc>
        <w:tc>
          <w:tcPr>
            <w:tcW w:w="427" w:type="pct"/>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频率</w:t>
            </w:r>
          </w:p>
          <w:p w:rsidR="002210DD" w:rsidRDefault="00A205B8">
            <w:pPr>
              <w:spacing w:line="240" w:lineRule="auto"/>
              <w:ind w:firstLineChars="0" w:firstLine="0"/>
              <w:jc w:val="center"/>
              <w:rPr>
                <w:b/>
                <w:bCs/>
                <w:sz w:val="21"/>
              </w:rPr>
            </w:pPr>
            <w:r>
              <w:rPr>
                <w:b/>
                <w:bCs/>
                <w:sz w:val="21"/>
              </w:rPr>
              <w:t>（</w:t>
            </w:r>
            <w:r>
              <w:rPr>
                <w:b/>
                <w:bCs/>
                <w:sz w:val="21"/>
              </w:rPr>
              <w:t>Hz</w:t>
            </w:r>
            <w:r>
              <w:rPr>
                <w:b/>
                <w:bCs/>
                <w:sz w:val="21"/>
              </w:rPr>
              <w:t>）</w:t>
            </w:r>
          </w:p>
        </w:tc>
      </w:tr>
      <w:tr w:rsidR="002210DD">
        <w:trPr>
          <w:trHeight w:val="340"/>
        </w:trPr>
        <w:tc>
          <w:tcPr>
            <w:tcW w:w="112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国标</w:t>
            </w:r>
            <w:r>
              <w:rPr>
                <w:sz w:val="21"/>
              </w:rPr>
              <w:t>HJ654</w:t>
            </w:r>
          </w:p>
        </w:tc>
        <w:tc>
          <w:tcPr>
            <w:tcW w:w="116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SO</w:t>
            </w:r>
            <w:r>
              <w:rPr>
                <w:sz w:val="21"/>
                <w:vertAlign w:val="subscript"/>
              </w:rPr>
              <w:t>2</w:t>
            </w:r>
            <w:r>
              <w:rPr>
                <w:sz w:val="21"/>
              </w:rPr>
              <w:t>、</w:t>
            </w:r>
            <w:r>
              <w:rPr>
                <w:sz w:val="21"/>
              </w:rPr>
              <w:t>NO</w:t>
            </w:r>
            <w:r>
              <w:rPr>
                <w:sz w:val="21"/>
                <w:vertAlign w:val="subscript"/>
              </w:rPr>
              <w:t>2</w:t>
            </w:r>
            <w:r>
              <w:rPr>
                <w:sz w:val="21"/>
              </w:rPr>
              <w:t>、</w:t>
            </w:r>
            <w:r>
              <w:rPr>
                <w:sz w:val="21"/>
              </w:rPr>
              <w:t>O</w:t>
            </w:r>
            <w:r>
              <w:rPr>
                <w:sz w:val="21"/>
                <w:vertAlign w:val="subscript"/>
              </w:rPr>
              <w:t>3</w:t>
            </w:r>
            <w:r>
              <w:rPr>
                <w:sz w:val="21"/>
              </w:rPr>
              <w:t>、</w:t>
            </w:r>
            <w:r>
              <w:rPr>
                <w:sz w:val="21"/>
              </w:rPr>
              <w:t>CO</w:t>
            </w:r>
          </w:p>
        </w:tc>
        <w:tc>
          <w:tcPr>
            <w:tcW w:w="60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15~35</w:t>
            </w:r>
          </w:p>
        </w:tc>
        <w:tc>
          <w:tcPr>
            <w:tcW w:w="74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≤85</w:t>
            </w:r>
          </w:p>
        </w:tc>
        <w:tc>
          <w:tcPr>
            <w:tcW w:w="48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80~106</w:t>
            </w:r>
          </w:p>
        </w:tc>
        <w:tc>
          <w:tcPr>
            <w:tcW w:w="45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220±22</w:t>
            </w:r>
          </w:p>
        </w:tc>
        <w:tc>
          <w:tcPr>
            <w:tcW w:w="42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50±1</w:t>
            </w:r>
          </w:p>
        </w:tc>
      </w:tr>
      <w:tr w:rsidR="002210DD">
        <w:trPr>
          <w:trHeight w:val="340"/>
        </w:trPr>
        <w:tc>
          <w:tcPr>
            <w:tcW w:w="112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proofErr w:type="gramStart"/>
            <w:r>
              <w:rPr>
                <w:sz w:val="21"/>
              </w:rPr>
              <w:t>环办监测</w:t>
            </w:r>
            <w:proofErr w:type="gramEnd"/>
            <w:r>
              <w:rPr>
                <w:sz w:val="21"/>
              </w:rPr>
              <w:t>函</w:t>
            </w:r>
            <w:r>
              <w:rPr>
                <w:sz w:val="21"/>
              </w:rPr>
              <w:t xml:space="preserve"> [2017] 2027</w:t>
            </w:r>
            <w:r>
              <w:rPr>
                <w:sz w:val="21"/>
              </w:rPr>
              <w:t>号</w:t>
            </w:r>
          </w:p>
        </w:tc>
        <w:tc>
          <w:tcPr>
            <w:tcW w:w="116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PM</w:t>
            </w:r>
            <w:r>
              <w:rPr>
                <w:sz w:val="21"/>
                <w:vertAlign w:val="subscript"/>
              </w:rPr>
              <w:t>2.5</w:t>
            </w:r>
          </w:p>
        </w:tc>
        <w:tc>
          <w:tcPr>
            <w:tcW w:w="60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-20~60</w:t>
            </w:r>
          </w:p>
        </w:tc>
        <w:tc>
          <w:tcPr>
            <w:tcW w:w="74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≤80</w:t>
            </w:r>
          </w:p>
        </w:tc>
        <w:tc>
          <w:tcPr>
            <w:tcW w:w="48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45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42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r>
      <w:tr w:rsidR="002210DD">
        <w:trPr>
          <w:trHeight w:val="340"/>
        </w:trPr>
        <w:tc>
          <w:tcPr>
            <w:tcW w:w="112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地标</w:t>
            </w:r>
            <w:r>
              <w:rPr>
                <w:sz w:val="21"/>
              </w:rPr>
              <w:t>DB13/T2544</w:t>
            </w:r>
          </w:p>
        </w:tc>
        <w:tc>
          <w:tcPr>
            <w:tcW w:w="116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SO</w:t>
            </w:r>
            <w:r>
              <w:rPr>
                <w:sz w:val="21"/>
                <w:vertAlign w:val="subscript"/>
              </w:rPr>
              <w:t>2</w:t>
            </w:r>
            <w:r>
              <w:rPr>
                <w:sz w:val="21"/>
              </w:rPr>
              <w:t>、</w:t>
            </w:r>
            <w:r>
              <w:rPr>
                <w:sz w:val="21"/>
              </w:rPr>
              <w:t>NO</w:t>
            </w:r>
            <w:r>
              <w:rPr>
                <w:sz w:val="21"/>
                <w:vertAlign w:val="subscript"/>
              </w:rPr>
              <w:t>2</w:t>
            </w:r>
            <w:r>
              <w:rPr>
                <w:sz w:val="21"/>
              </w:rPr>
              <w:t>、</w:t>
            </w:r>
            <w:r>
              <w:rPr>
                <w:sz w:val="21"/>
              </w:rPr>
              <w:t>O</w:t>
            </w:r>
            <w:r>
              <w:rPr>
                <w:sz w:val="21"/>
                <w:vertAlign w:val="subscript"/>
              </w:rPr>
              <w:t>3</w:t>
            </w:r>
            <w:r>
              <w:rPr>
                <w:sz w:val="21"/>
              </w:rPr>
              <w:t>、</w:t>
            </w:r>
            <w:r>
              <w:rPr>
                <w:sz w:val="21"/>
              </w:rPr>
              <w:t>CO</w:t>
            </w:r>
            <w:r>
              <w:rPr>
                <w:sz w:val="21"/>
              </w:rPr>
              <w:t>，</w:t>
            </w:r>
            <w:r>
              <w:rPr>
                <w:sz w:val="21"/>
              </w:rPr>
              <w:br/>
              <w:t>PM</w:t>
            </w:r>
            <w:r>
              <w:rPr>
                <w:sz w:val="21"/>
                <w:vertAlign w:val="subscript"/>
              </w:rPr>
              <w:t>10</w:t>
            </w:r>
            <w:r>
              <w:rPr>
                <w:sz w:val="21"/>
              </w:rPr>
              <w:t>、</w:t>
            </w:r>
            <w:r>
              <w:rPr>
                <w:sz w:val="21"/>
              </w:rPr>
              <w:t>PM</w:t>
            </w:r>
            <w:r>
              <w:rPr>
                <w:sz w:val="21"/>
                <w:vertAlign w:val="subscript"/>
              </w:rPr>
              <w:t>2.5</w:t>
            </w:r>
            <w:r>
              <w:rPr>
                <w:sz w:val="21"/>
              </w:rPr>
              <w:t>、</w:t>
            </w:r>
            <w:r>
              <w:rPr>
                <w:sz w:val="21"/>
              </w:rPr>
              <w:t>TVOC</w:t>
            </w:r>
          </w:p>
        </w:tc>
        <w:tc>
          <w:tcPr>
            <w:tcW w:w="60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-20~55</w:t>
            </w:r>
            <w:r>
              <w:rPr>
                <w:sz w:val="21"/>
              </w:rPr>
              <w:t>，</w:t>
            </w:r>
          </w:p>
          <w:p w:rsidR="002210DD" w:rsidRDefault="00A205B8">
            <w:pPr>
              <w:spacing w:line="240" w:lineRule="auto"/>
              <w:ind w:firstLineChars="0" w:firstLine="0"/>
              <w:jc w:val="center"/>
              <w:rPr>
                <w:sz w:val="21"/>
              </w:rPr>
            </w:pPr>
            <w:r>
              <w:rPr>
                <w:sz w:val="21"/>
              </w:rPr>
              <w:t>-40~55</w:t>
            </w:r>
          </w:p>
          <w:p w:rsidR="002210DD" w:rsidRDefault="00A205B8">
            <w:pPr>
              <w:spacing w:line="240" w:lineRule="auto"/>
              <w:ind w:firstLineChars="0" w:firstLine="0"/>
              <w:jc w:val="center"/>
              <w:rPr>
                <w:sz w:val="21"/>
              </w:rPr>
            </w:pPr>
            <w:r>
              <w:rPr>
                <w:sz w:val="21"/>
              </w:rPr>
              <w:t>（高寒型）</w:t>
            </w:r>
          </w:p>
        </w:tc>
        <w:tc>
          <w:tcPr>
            <w:tcW w:w="74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15~95</w:t>
            </w:r>
          </w:p>
        </w:tc>
        <w:tc>
          <w:tcPr>
            <w:tcW w:w="48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45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42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r>
      <w:tr w:rsidR="002210DD">
        <w:trPr>
          <w:trHeight w:val="340"/>
        </w:trPr>
        <w:tc>
          <w:tcPr>
            <w:tcW w:w="112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rFonts w:hint="eastAsia"/>
                <w:sz w:val="21"/>
              </w:rPr>
              <w:t>比对测试结果</w:t>
            </w:r>
          </w:p>
        </w:tc>
        <w:tc>
          <w:tcPr>
            <w:tcW w:w="116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SO</w:t>
            </w:r>
            <w:r>
              <w:rPr>
                <w:sz w:val="21"/>
                <w:vertAlign w:val="subscript"/>
              </w:rPr>
              <w:t>2</w:t>
            </w:r>
            <w:r>
              <w:rPr>
                <w:sz w:val="21"/>
              </w:rPr>
              <w:t>、</w:t>
            </w:r>
            <w:r>
              <w:rPr>
                <w:sz w:val="21"/>
              </w:rPr>
              <w:t>NO</w:t>
            </w:r>
            <w:r>
              <w:rPr>
                <w:sz w:val="21"/>
                <w:vertAlign w:val="subscript"/>
              </w:rPr>
              <w:t>2</w:t>
            </w:r>
            <w:r>
              <w:rPr>
                <w:sz w:val="21"/>
              </w:rPr>
              <w:t>、</w:t>
            </w:r>
            <w:r>
              <w:rPr>
                <w:sz w:val="21"/>
              </w:rPr>
              <w:t>O</w:t>
            </w:r>
            <w:r>
              <w:rPr>
                <w:sz w:val="21"/>
                <w:vertAlign w:val="subscript"/>
              </w:rPr>
              <w:t>3</w:t>
            </w:r>
            <w:r>
              <w:rPr>
                <w:sz w:val="21"/>
              </w:rPr>
              <w:t>、</w:t>
            </w:r>
            <w:r>
              <w:rPr>
                <w:sz w:val="21"/>
              </w:rPr>
              <w:t>CO</w:t>
            </w:r>
            <w:r>
              <w:rPr>
                <w:sz w:val="21"/>
              </w:rPr>
              <w:t>，</w:t>
            </w:r>
            <w:r>
              <w:rPr>
                <w:sz w:val="21"/>
              </w:rPr>
              <w:br/>
              <w:t>PM</w:t>
            </w:r>
            <w:r>
              <w:rPr>
                <w:sz w:val="21"/>
                <w:vertAlign w:val="subscript"/>
              </w:rPr>
              <w:t>10</w:t>
            </w:r>
            <w:r>
              <w:rPr>
                <w:sz w:val="21"/>
              </w:rPr>
              <w:t>、</w:t>
            </w:r>
            <w:r>
              <w:rPr>
                <w:sz w:val="21"/>
              </w:rPr>
              <w:t>PM</w:t>
            </w:r>
            <w:r>
              <w:rPr>
                <w:sz w:val="21"/>
                <w:vertAlign w:val="subscript"/>
              </w:rPr>
              <w:t>2.5</w:t>
            </w:r>
          </w:p>
        </w:tc>
        <w:tc>
          <w:tcPr>
            <w:tcW w:w="602"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42"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481"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458"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42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r>
      <w:tr w:rsidR="002210DD">
        <w:trPr>
          <w:trHeight w:val="340"/>
        </w:trPr>
        <w:tc>
          <w:tcPr>
            <w:tcW w:w="112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本规范</w:t>
            </w:r>
          </w:p>
        </w:tc>
        <w:tc>
          <w:tcPr>
            <w:tcW w:w="116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SO</w:t>
            </w:r>
            <w:r>
              <w:rPr>
                <w:sz w:val="21"/>
                <w:vertAlign w:val="subscript"/>
              </w:rPr>
              <w:t>2</w:t>
            </w:r>
            <w:r>
              <w:rPr>
                <w:sz w:val="21"/>
              </w:rPr>
              <w:t>、</w:t>
            </w:r>
            <w:r>
              <w:rPr>
                <w:sz w:val="21"/>
              </w:rPr>
              <w:t>NO</w:t>
            </w:r>
            <w:r>
              <w:rPr>
                <w:sz w:val="21"/>
                <w:vertAlign w:val="subscript"/>
              </w:rPr>
              <w:t>2</w:t>
            </w:r>
            <w:r>
              <w:rPr>
                <w:sz w:val="21"/>
              </w:rPr>
              <w:t>、</w:t>
            </w:r>
            <w:r>
              <w:rPr>
                <w:sz w:val="21"/>
              </w:rPr>
              <w:t>O</w:t>
            </w:r>
            <w:r>
              <w:rPr>
                <w:sz w:val="21"/>
                <w:vertAlign w:val="subscript"/>
              </w:rPr>
              <w:t>3</w:t>
            </w:r>
            <w:r>
              <w:rPr>
                <w:sz w:val="21"/>
              </w:rPr>
              <w:t>、</w:t>
            </w:r>
            <w:r>
              <w:rPr>
                <w:sz w:val="21"/>
              </w:rPr>
              <w:t>CO</w:t>
            </w:r>
            <w:r>
              <w:rPr>
                <w:sz w:val="21"/>
              </w:rPr>
              <w:t>，</w:t>
            </w:r>
            <w:r>
              <w:rPr>
                <w:sz w:val="21"/>
              </w:rPr>
              <w:br/>
              <w:t>NO</w:t>
            </w:r>
          </w:p>
        </w:tc>
        <w:tc>
          <w:tcPr>
            <w:tcW w:w="60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r>
              <w:rPr>
                <w:rFonts w:hint="eastAsia"/>
                <w:sz w:val="21"/>
              </w:rPr>
              <w:t>2</w:t>
            </w:r>
            <w:r>
              <w:rPr>
                <w:sz w:val="21"/>
              </w:rPr>
              <w:t>0~55</w:t>
            </w:r>
          </w:p>
        </w:tc>
        <w:tc>
          <w:tcPr>
            <w:tcW w:w="74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15~</w:t>
            </w:r>
            <w:r>
              <w:rPr>
                <w:rFonts w:hint="eastAsia"/>
                <w:sz w:val="21"/>
              </w:rPr>
              <w:t>100</w:t>
            </w:r>
          </w:p>
        </w:tc>
        <w:tc>
          <w:tcPr>
            <w:tcW w:w="48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80~106</w:t>
            </w:r>
          </w:p>
        </w:tc>
        <w:tc>
          <w:tcPr>
            <w:tcW w:w="45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220±22</w:t>
            </w:r>
          </w:p>
        </w:tc>
        <w:tc>
          <w:tcPr>
            <w:tcW w:w="42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50±1</w:t>
            </w:r>
          </w:p>
        </w:tc>
      </w:tr>
    </w:tbl>
    <w:p w:rsidR="002210DD" w:rsidRDefault="00A205B8">
      <w:pPr>
        <w:tabs>
          <w:tab w:val="left" w:pos="420"/>
        </w:tabs>
        <w:ind w:firstLine="480"/>
      </w:pPr>
      <w:r>
        <w:t>考虑到长三角区域空气湿度整体较高，很多时间会出现湿度高于</w:t>
      </w:r>
      <w:r>
        <w:rPr>
          <w:rFonts w:hint="eastAsia"/>
        </w:rPr>
        <w:t>8</w:t>
      </w:r>
      <w:r>
        <w:t>5%</w:t>
      </w:r>
      <w:r>
        <w:t>的情况，尤其是黄梅天，会出现长时间的高于</w:t>
      </w:r>
      <w:r>
        <w:rPr>
          <w:rFonts w:hint="eastAsia"/>
        </w:rPr>
        <w:t>8</w:t>
      </w:r>
      <w:r>
        <w:t>5%</w:t>
      </w:r>
      <w:r>
        <w:t>。前期对几个厂家传感器设备的调研资料显示，其传感器设备机箱内均带有温度湿度控制功能。为了有效降低温度</w:t>
      </w:r>
      <w:r>
        <w:lastRenderedPageBreak/>
        <w:t>湿度对传感器法监测设备使用性能及寿命的影响，本规范要求传感器设备具有控温除湿的功能，在高温、高湿等特殊环境条件下，可以满足正常工作的使用要求。</w:t>
      </w:r>
    </w:p>
    <w:p w:rsidR="002210DD" w:rsidRDefault="00A205B8">
      <w:pPr>
        <w:pStyle w:val="3"/>
      </w:pPr>
      <w:r>
        <w:t>安全要求</w:t>
      </w:r>
    </w:p>
    <w:p w:rsidR="002210DD" w:rsidRDefault="00A205B8">
      <w:pPr>
        <w:ind w:firstLine="480"/>
      </w:pPr>
      <w:r>
        <w:t>环境空气气态污染物（</w:t>
      </w:r>
      <w:r>
        <w:t>SO</w:t>
      </w:r>
      <w:r>
        <w:rPr>
          <w:vertAlign w:val="subscript"/>
        </w:rPr>
        <w:t>2</w:t>
      </w:r>
      <w:r>
        <w:t>、</w:t>
      </w:r>
      <w:r>
        <w:t>NO</w:t>
      </w:r>
      <w:r>
        <w:rPr>
          <w:vertAlign w:val="subscript"/>
        </w:rPr>
        <w:t>2</w:t>
      </w:r>
      <w:r>
        <w:t>、</w:t>
      </w:r>
      <w:r>
        <w:t>NO</w:t>
      </w:r>
      <w:r>
        <w:t>、</w:t>
      </w:r>
      <w:r>
        <w:t>O</w:t>
      </w:r>
      <w:r>
        <w:rPr>
          <w:vertAlign w:val="subscript"/>
        </w:rPr>
        <w:t>3</w:t>
      </w:r>
      <w:r>
        <w:t>、</w:t>
      </w:r>
      <w:r>
        <w:t>CO</w:t>
      </w:r>
      <w:r>
        <w:t>）传感器法自动监测系统中的监测单元安装在室外，存在运输、装配、和动态调整位置的情况。本规范要求监测系统符合以下安全要求。</w:t>
      </w:r>
    </w:p>
    <w:p w:rsidR="002210DD" w:rsidRDefault="00A205B8">
      <w:pPr>
        <w:ind w:firstLine="480"/>
      </w:pPr>
      <w:r>
        <w:t>（</w:t>
      </w:r>
      <w:r>
        <w:t>1</w:t>
      </w:r>
      <w:r>
        <w:t>）一般要求</w:t>
      </w:r>
    </w:p>
    <w:p w:rsidR="002210DD" w:rsidRDefault="00A205B8">
      <w:pPr>
        <w:ind w:firstLine="480"/>
      </w:pPr>
      <w:r>
        <w:t>设备及其附件必须避免在装配、安装、使用和维护过程中可能造成的人身安全隐患，诸如锋边、毛刺等。</w:t>
      </w:r>
    </w:p>
    <w:p w:rsidR="002210DD" w:rsidRDefault="00A205B8">
      <w:pPr>
        <w:ind w:firstLine="480"/>
      </w:pPr>
      <w:r>
        <w:t>此条参考《大气</w:t>
      </w:r>
      <w:r>
        <w:t>PM</w:t>
      </w:r>
      <w:r>
        <w:rPr>
          <w:vertAlign w:val="subscript"/>
        </w:rPr>
        <w:t>2.5</w:t>
      </w:r>
      <w:r>
        <w:t>网格化监测技术要求和检测方法技术规范》（</w:t>
      </w:r>
      <w:proofErr w:type="gramStart"/>
      <w:r>
        <w:t>环办监测</w:t>
      </w:r>
      <w:proofErr w:type="gramEnd"/>
      <w:r>
        <w:t>函</w:t>
      </w:r>
      <w:r>
        <w:t>[2017]2027</w:t>
      </w:r>
      <w:r>
        <w:t>号）的</w:t>
      </w:r>
      <w:r>
        <w:t>5.3.1</w:t>
      </w:r>
      <w:r>
        <w:t>要求。</w:t>
      </w:r>
    </w:p>
    <w:p w:rsidR="002210DD" w:rsidRDefault="00A205B8">
      <w:pPr>
        <w:ind w:firstLine="480"/>
      </w:pPr>
      <w:r>
        <w:t>（</w:t>
      </w:r>
      <w:r>
        <w:t>2</w:t>
      </w:r>
      <w:r>
        <w:t>）接地保护</w:t>
      </w:r>
    </w:p>
    <w:p w:rsidR="002210DD" w:rsidRDefault="00A205B8">
      <w:pPr>
        <w:ind w:firstLine="480"/>
      </w:pPr>
      <w:r>
        <w:t>设备采用市电供电时应连接地线，具有防雷保护功能。</w:t>
      </w:r>
    </w:p>
    <w:p w:rsidR="002210DD" w:rsidRDefault="00A205B8">
      <w:pPr>
        <w:ind w:firstLine="480"/>
      </w:pPr>
      <w:r>
        <w:t>此条参考《大气</w:t>
      </w:r>
      <w:r>
        <w:t>PM</w:t>
      </w:r>
      <w:r>
        <w:rPr>
          <w:vertAlign w:val="subscript"/>
        </w:rPr>
        <w:t>2.5</w:t>
      </w:r>
      <w:r>
        <w:t>网格化监测技术要求和检测方法技术规范》（</w:t>
      </w:r>
      <w:proofErr w:type="gramStart"/>
      <w:r>
        <w:t>环办监测</w:t>
      </w:r>
      <w:proofErr w:type="gramEnd"/>
      <w:r>
        <w:t>函</w:t>
      </w:r>
      <w:r>
        <w:t>[2017]2027</w:t>
      </w:r>
      <w:r>
        <w:t>号）的</w:t>
      </w:r>
      <w:r>
        <w:t>5.3.2</w:t>
      </w:r>
      <w:r>
        <w:t>要求。</w:t>
      </w:r>
    </w:p>
    <w:p w:rsidR="002210DD" w:rsidRDefault="00A205B8">
      <w:pPr>
        <w:ind w:firstLine="480"/>
      </w:pPr>
      <w:r>
        <w:t>（</w:t>
      </w:r>
      <w:r>
        <w:t>3</w:t>
      </w:r>
      <w:r>
        <w:t>）防护等级</w:t>
      </w:r>
    </w:p>
    <w:p w:rsidR="002210DD" w:rsidRDefault="00A205B8">
      <w:pPr>
        <w:ind w:firstLine="480"/>
      </w:pPr>
      <w:r>
        <w:t>在满足性能要求的前提下，设备防护等级应满足</w:t>
      </w:r>
      <w:r>
        <w:t>GB4208-2008 IP53</w:t>
      </w:r>
      <w:r>
        <w:t>的规定。</w:t>
      </w:r>
    </w:p>
    <w:p w:rsidR="002210DD" w:rsidRDefault="00A205B8">
      <w:pPr>
        <w:ind w:firstLine="480"/>
      </w:pPr>
      <w:r>
        <w:t>《大气</w:t>
      </w:r>
      <w:r>
        <w:t>PM</w:t>
      </w:r>
      <w:r>
        <w:rPr>
          <w:vertAlign w:val="subscript"/>
        </w:rPr>
        <w:t>2.5</w:t>
      </w:r>
      <w:r>
        <w:t>网格化监测技术要求和检测方法技术规范》（</w:t>
      </w:r>
      <w:proofErr w:type="gramStart"/>
      <w:r>
        <w:t>环办监测</w:t>
      </w:r>
      <w:proofErr w:type="gramEnd"/>
      <w:r>
        <w:t>函</w:t>
      </w:r>
      <w:r>
        <w:t>[2017]2027</w:t>
      </w:r>
      <w:r>
        <w:t>号）的</w:t>
      </w:r>
      <w:r>
        <w:t>5.3.5</w:t>
      </w:r>
      <w:r>
        <w:t>要求设备防护等级应满足</w:t>
      </w:r>
      <w:r>
        <w:t>GBGB4208-2008 IP44</w:t>
      </w:r>
      <w:r>
        <w:t>的规定。环保产品认证《微型环境空气质量监控系统》（</w:t>
      </w:r>
      <w:r>
        <w:rPr>
          <w:rFonts w:eastAsia="黑体"/>
          <w:kern w:val="0"/>
          <w:szCs w:val="24"/>
        </w:rPr>
        <w:t>CCAEPI-RG-Y-040-2017</w:t>
      </w:r>
      <w:r>
        <w:t>）仅要求</w:t>
      </w:r>
      <w:r>
        <w:t>IP53</w:t>
      </w:r>
      <w:r>
        <w:t>的标准。设备防护等级越高成本越高，考虑到常规</w:t>
      </w:r>
      <w:r>
        <w:rPr>
          <w:rFonts w:hint="eastAsia"/>
        </w:rPr>
        <w:t>户外</w:t>
      </w:r>
      <w:r>
        <w:t>监测环境</w:t>
      </w:r>
      <w:r>
        <w:t>“</w:t>
      </w:r>
      <w:r>
        <w:t>防护灰尘，防护</w:t>
      </w:r>
      <w:r>
        <w:rPr>
          <w:rFonts w:hint="eastAsia"/>
        </w:rPr>
        <w:t>淋</w:t>
      </w:r>
      <w:r>
        <w:t>水</w:t>
      </w:r>
      <w:r>
        <w:t>”</w:t>
      </w:r>
      <w:r>
        <w:t>已经可以符合传感器法监测设备的防护要求，因此，本规范要求设备防护等级应最低满足</w:t>
      </w:r>
      <w:r>
        <w:t>GB4208-2008 IP53</w:t>
      </w:r>
      <w:r>
        <w:t>的规定。</w:t>
      </w:r>
    </w:p>
    <w:p w:rsidR="002210DD" w:rsidRDefault="00A205B8">
      <w:pPr>
        <w:ind w:firstLine="480"/>
      </w:pPr>
      <w:r>
        <w:t>（</w:t>
      </w:r>
      <w:r>
        <w:t>4</w:t>
      </w:r>
      <w:r>
        <w:t>）绝缘电阻</w:t>
      </w:r>
    </w:p>
    <w:p w:rsidR="002210DD" w:rsidRDefault="00A205B8">
      <w:pPr>
        <w:ind w:firstLine="480"/>
      </w:pPr>
      <w:r>
        <w:t>使用交流电源时，设备的电源相、中联线对地的绝缘电阻应不小于</w:t>
      </w:r>
      <w:r>
        <w:t>20 MΩ</w:t>
      </w:r>
      <w:r>
        <w:t>。</w:t>
      </w:r>
    </w:p>
    <w:p w:rsidR="002210DD" w:rsidRDefault="00A205B8">
      <w:pPr>
        <w:ind w:firstLine="480"/>
      </w:pPr>
      <w:r>
        <w:t>此条参考《大气</w:t>
      </w:r>
      <w:r>
        <w:t>PM</w:t>
      </w:r>
      <w:r>
        <w:rPr>
          <w:vertAlign w:val="subscript"/>
        </w:rPr>
        <w:t>2.5</w:t>
      </w:r>
      <w:r>
        <w:t>网格化监测技术要求和检测方法技术规范》（</w:t>
      </w:r>
      <w:proofErr w:type="gramStart"/>
      <w:r>
        <w:t>环办监测</w:t>
      </w:r>
      <w:proofErr w:type="gramEnd"/>
      <w:r>
        <w:t>函</w:t>
      </w:r>
      <w:r>
        <w:t>[2017]2027</w:t>
      </w:r>
      <w:r>
        <w:t>号）的</w:t>
      </w:r>
      <w:r>
        <w:t>5.3.3</w:t>
      </w:r>
      <w:r>
        <w:t>要求。</w:t>
      </w:r>
    </w:p>
    <w:p w:rsidR="002210DD" w:rsidRDefault="00A205B8">
      <w:pPr>
        <w:ind w:firstLine="480"/>
      </w:pPr>
      <w:r>
        <w:t>（</w:t>
      </w:r>
      <w:r>
        <w:t>5</w:t>
      </w:r>
      <w:r>
        <w:t>）绝缘强度</w:t>
      </w:r>
    </w:p>
    <w:p w:rsidR="002210DD" w:rsidRDefault="00A205B8">
      <w:pPr>
        <w:ind w:firstLine="480"/>
      </w:pPr>
      <w:r>
        <w:lastRenderedPageBreak/>
        <w:t>使用交流电源时，设备的电源相、中联线对地的绝缘强度，应能承受交流电压</w:t>
      </w:r>
      <w:r>
        <w:t>1.5kV</w:t>
      </w:r>
      <w:r>
        <w:t>、</w:t>
      </w:r>
      <w:r>
        <w:t>50Hz</w:t>
      </w:r>
      <w:r>
        <w:t>泄露电流</w:t>
      </w:r>
      <w:r>
        <w:t>5mA</w:t>
      </w:r>
      <w:r>
        <w:t>，历时</w:t>
      </w:r>
      <w:r>
        <w:t>1min</w:t>
      </w:r>
      <w:r>
        <w:t>实验，无飞弧或击穿现象。</w:t>
      </w:r>
    </w:p>
    <w:p w:rsidR="002210DD" w:rsidRDefault="00A205B8">
      <w:pPr>
        <w:ind w:firstLine="480"/>
      </w:pPr>
      <w:r>
        <w:t>此条参考《大气</w:t>
      </w:r>
      <w:r>
        <w:t>PM</w:t>
      </w:r>
      <w:r>
        <w:rPr>
          <w:vertAlign w:val="subscript"/>
        </w:rPr>
        <w:t>2.5</w:t>
      </w:r>
      <w:r>
        <w:t>网格化监测技术要求和检测方法技术规范》（</w:t>
      </w:r>
      <w:proofErr w:type="gramStart"/>
      <w:r>
        <w:t>环办监测</w:t>
      </w:r>
      <w:proofErr w:type="gramEnd"/>
      <w:r>
        <w:t>函</w:t>
      </w:r>
      <w:r>
        <w:t>[2017]2027</w:t>
      </w:r>
      <w:r>
        <w:t>号）的</w:t>
      </w:r>
      <w:r>
        <w:t>5.3.4</w:t>
      </w:r>
      <w:r>
        <w:t>要求。</w:t>
      </w:r>
    </w:p>
    <w:p w:rsidR="002210DD" w:rsidRDefault="00A205B8">
      <w:pPr>
        <w:ind w:firstLine="480"/>
      </w:pPr>
      <w:r>
        <w:t>（</w:t>
      </w:r>
      <w:r>
        <w:t>6</w:t>
      </w:r>
      <w:r>
        <w:t>）防盐雾腐蚀</w:t>
      </w:r>
    </w:p>
    <w:p w:rsidR="002210DD" w:rsidRDefault="00A205B8">
      <w:pPr>
        <w:ind w:firstLine="480"/>
      </w:pPr>
      <w:r>
        <w:t>经盐雾试验后，设备外壳应无腐蚀现象。</w:t>
      </w:r>
    </w:p>
    <w:p w:rsidR="002210DD" w:rsidRDefault="00A205B8">
      <w:pPr>
        <w:ind w:firstLine="480"/>
      </w:pPr>
      <w:r>
        <w:t>此条参考《大气</w:t>
      </w:r>
      <w:r>
        <w:t>PM</w:t>
      </w:r>
      <w:r>
        <w:rPr>
          <w:vertAlign w:val="subscript"/>
        </w:rPr>
        <w:t>2.5</w:t>
      </w:r>
      <w:r>
        <w:t>网格化监测技术要求和检测方法技术规范》（</w:t>
      </w:r>
      <w:proofErr w:type="gramStart"/>
      <w:r>
        <w:t>环办监测</w:t>
      </w:r>
      <w:proofErr w:type="gramEnd"/>
      <w:r>
        <w:t>函</w:t>
      </w:r>
      <w:r>
        <w:t>[2017]2027</w:t>
      </w:r>
      <w:r>
        <w:t>号）的</w:t>
      </w:r>
      <w:r>
        <w:t>5.3.6</w:t>
      </w:r>
      <w:r>
        <w:t>要求。</w:t>
      </w:r>
    </w:p>
    <w:p w:rsidR="002210DD" w:rsidRDefault="00A205B8">
      <w:pPr>
        <w:pStyle w:val="3"/>
      </w:pPr>
      <w:r>
        <w:t>功能要求</w:t>
      </w:r>
    </w:p>
    <w:p w:rsidR="002210DD" w:rsidRDefault="00A205B8">
      <w:pPr>
        <w:pStyle w:val="4"/>
        <w:rPr>
          <w:rFonts w:ascii="Times New Roman" w:hAnsi="Times New Roman"/>
        </w:rPr>
      </w:pPr>
      <w:r>
        <w:rPr>
          <w:rFonts w:ascii="Times New Roman" w:hAnsi="Times New Roman"/>
        </w:rPr>
        <w:t>监测单元</w:t>
      </w:r>
    </w:p>
    <w:p w:rsidR="002210DD" w:rsidRDefault="00A205B8">
      <w:pPr>
        <w:tabs>
          <w:tab w:val="left" w:pos="420"/>
        </w:tabs>
        <w:ind w:firstLine="480"/>
      </w:pPr>
      <w:r>
        <w:t>a</w:t>
      </w:r>
      <w:r>
        <w:t>）监测单元应连接紧密，避免漏气；</w:t>
      </w:r>
    </w:p>
    <w:p w:rsidR="002210DD" w:rsidRDefault="00A205B8">
      <w:pPr>
        <w:tabs>
          <w:tab w:val="left" w:pos="420"/>
        </w:tabs>
        <w:ind w:firstLine="480"/>
      </w:pPr>
      <w:r>
        <w:rPr>
          <w:rFonts w:hint="eastAsia"/>
        </w:rPr>
        <w:t>b</w:t>
      </w:r>
      <w:r>
        <w:t>）</w:t>
      </w:r>
      <w:r>
        <w:rPr>
          <w:rFonts w:hint="eastAsia"/>
        </w:rPr>
        <w:t>监测单元的气体管路</w:t>
      </w:r>
      <w:r>
        <w:t>，应选用不与被监测</w:t>
      </w:r>
      <w:r>
        <w:rPr>
          <w:rFonts w:hint="eastAsia"/>
        </w:rPr>
        <w:t>因子</w:t>
      </w:r>
      <w:r>
        <w:t>发生化学反应和不释放有干扰物质的材料，一般</w:t>
      </w:r>
      <w:r>
        <w:rPr>
          <w:rFonts w:hint="eastAsia"/>
        </w:rPr>
        <w:t>选用</w:t>
      </w:r>
      <w:r>
        <w:t>聚四氟乙烯或硼硅酸盐玻璃等材料。</w:t>
      </w:r>
    </w:p>
    <w:p w:rsidR="002210DD" w:rsidRDefault="00A205B8">
      <w:pPr>
        <w:ind w:firstLine="480"/>
      </w:pPr>
      <w:r>
        <w:t>此条（</w:t>
      </w:r>
      <w:r>
        <w:t>a</w:t>
      </w:r>
      <w:r>
        <w:t>）、（</w:t>
      </w:r>
      <w:r>
        <w:rPr>
          <w:rFonts w:hint="eastAsia"/>
        </w:rPr>
        <w:t>b</w:t>
      </w:r>
      <w:r>
        <w:t>）的功能要求参考了《环境空气气态污染物</w:t>
      </w:r>
      <w:r>
        <w:rPr>
          <w:szCs w:val="24"/>
        </w:rPr>
        <w:t>（</w:t>
      </w:r>
      <w:r>
        <w:rPr>
          <w:szCs w:val="24"/>
        </w:rPr>
        <w:t>SO</w:t>
      </w:r>
      <w:r>
        <w:rPr>
          <w:szCs w:val="24"/>
          <w:vertAlign w:val="subscript"/>
        </w:rPr>
        <w:t>2</w:t>
      </w:r>
      <w:r>
        <w:rPr>
          <w:szCs w:val="24"/>
        </w:rPr>
        <w:t>、</w:t>
      </w:r>
      <w:r>
        <w:rPr>
          <w:szCs w:val="24"/>
        </w:rPr>
        <w:t>NO</w:t>
      </w:r>
      <w:r>
        <w:rPr>
          <w:szCs w:val="24"/>
          <w:vertAlign w:val="subscript"/>
        </w:rPr>
        <w:t>2</w:t>
      </w:r>
      <w:r>
        <w:rPr>
          <w:szCs w:val="24"/>
        </w:rPr>
        <w:t>、</w:t>
      </w:r>
      <w:r>
        <w:rPr>
          <w:szCs w:val="24"/>
        </w:rPr>
        <w:t>O</w:t>
      </w:r>
      <w:r>
        <w:rPr>
          <w:szCs w:val="24"/>
          <w:vertAlign w:val="subscript"/>
        </w:rPr>
        <w:t>3</w:t>
      </w:r>
      <w:r>
        <w:rPr>
          <w:szCs w:val="24"/>
        </w:rPr>
        <w:t>、</w:t>
      </w:r>
      <w:r>
        <w:rPr>
          <w:szCs w:val="24"/>
        </w:rPr>
        <w:t>CO</w:t>
      </w:r>
      <w:r>
        <w:rPr>
          <w:szCs w:val="24"/>
        </w:rPr>
        <w:t>）</w:t>
      </w:r>
      <w:r>
        <w:t>连续自动监测系统技术要求及检测方法》（</w:t>
      </w:r>
      <w:r>
        <w:t>HJ654-2013</w:t>
      </w:r>
      <w:r>
        <w:t>）的</w:t>
      </w:r>
      <w:r>
        <w:t>5.1.4.1</w:t>
      </w:r>
      <w:r>
        <w:t>条要求。</w:t>
      </w:r>
    </w:p>
    <w:p w:rsidR="002210DD" w:rsidRDefault="00A205B8">
      <w:pPr>
        <w:pStyle w:val="4"/>
        <w:rPr>
          <w:rFonts w:ascii="Times New Roman" w:hAnsi="Times New Roman"/>
        </w:rPr>
      </w:pPr>
      <w:r>
        <w:rPr>
          <w:rFonts w:ascii="Times New Roman" w:hAnsi="Times New Roman"/>
        </w:rPr>
        <w:t>监测项目</w:t>
      </w:r>
    </w:p>
    <w:p w:rsidR="002210DD" w:rsidRDefault="00A205B8">
      <w:pPr>
        <w:numPr>
          <w:ilvl w:val="0"/>
          <w:numId w:val="4"/>
        </w:numPr>
        <w:tabs>
          <w:tab w:val="left" w:pos="420"/>
        </w:tabs>
        <w:ind w:firstLine="480"/>
      </w:pPr>
      <w:r>
        <w:rPr>
          <w:szCs w:val="24"/>
        </w:rPr>
        <w:t>常规监测因子：</w:t>
      </w:r>
      <w:r>
        <w:t>SO</w:t>
      </w:r>
      <w:r>
        <w:rPr>
          <w:vertAlign w:val="subscript"/>
        </w:rPr>
        <w:t>2</w:t>
      </w:r>
      <w:r>
        <w:t>、</w:t>
      </w:r>
      <w:r>
        <w:t>NO</w:t>
      </w:r>
      <w:r>
        <w:rPr>
          <w:vertAlign w:val="subscript"/>
        </w:rPr>
        <w:t>2</w:t>
      </w:r>
      <w:r>
        <w:t>、</w:t>
      </w:r>
      <w:r>
        <w:t>NO</w:t>
      </w:r>
      <w:r>
        <w:t>、</w:t>
      </w:r>
      <w:r>
        <w:t>O</w:t>
      </w:r>
      <w:r>
        <w:rPr>
          <w:vertAlign w:val="subscript"/>
        </w:rPr>
        <w:t>3</w:t>
      </w:r>
      <w:r>
        <w:t>、</w:t>
      </w:r>
      <w:r>
        <w:t>CO</w:t>
      </w:r>
      <w:r>
        <w:t>；</w:t>
      </w:r>
    </w:p>
    <w:p w:rsidR="002210DD" w:rsidRDefault="00A205B8">
      <w:pPr>
        <w:numPr>
          <w:ilvl w:val="0"/>
          <w:numId w:val="4"/>
        </w:numPr>
        <w:tabs>
          <w:tab w:val="left" w:pos="420"/>
        </w:tabs>
        <w:ind w:firstLine="480"/>
      </w:pPr>
      <w:r>
        <w:t>可按实际监测需求调整常规监测因子监测模块或者增加其他污染因子监测模块；</w:t>
      </w:r>
    </w:p>
    <w:p w:rsidR="002210DD" w:rsidRDefault="00A205B8">
      <w:pPr>
        <w:tabs>
          <w:tab w:val="left" w:pos="420"/>
        </w:tabs>
        <w:ind w:firstLine="480"/>
      </w:pPr>
      <w:r>
        <w:t>c</w:t>
      </w:r>
      <w:r>
        <w:t>）可外接气</w:t>
      </w:r>
      <w:proofErr w:type="gramStart"/>
      <w:r>
        <w:t>象</w:t>
      </w:r>
      <w:proofErr w:type="gramEnd"/>
      <w:r>
        <w:rPr>
          <w:rFonts w:hint="eastAsia"/>
        </w:rPr>
        <w:t>参数</w:t>
      </w:r>
      <w:r>
        <w:t>（温度、湿度、风速、风向、大气压等）监测单元。</w:t>
      </w:r>
    </w:p>
    <w:p w:rsidR="002210DD" w:rsidRDefault="00A205B8">
      <w:pPr>
        <w:pStyle w:val="a7"/>
        <w:spacing w:before="156"/>
      </w:pPr>
      <w:r>
        <w:t>表</w:t>
      </w:r>
      <w:r>
        <w:t>5.4-</w:t>
      </w:r>
      <w:r>
        <w:rPr>
          <w:rFonts w:hint="eastAsia"/>
        </w:rPr>
        <w:t>3</w:t>
      </w:r>
      <w:r>
        <w:t xml:space="preserve">  </w:t>
      </w:r>
      <w:r>
        <w:t>监测项目对比</w:t>
      </w:r>
    </w:p>
    <w:tbl>
      <w:tblPr>
        <w:tblpPr w:leftFromText="180" w:rightFromText="180" w:vertAnchor="text" w:horzAnchor="page" w:tblpX="1865" w:tblpY="76"/>
        <w:tblOverlap w:val="never"/>
        <w:tblW w:w="0" w:type="auto"/>
        <w:tblCellMar>
          <w:left w:w="0" w:type="dxa"/>
          <w:right w:w="0" w:type="dxa"/>
        </w:tblCellMar>
        <w:tblLook w:val="04A0" w:firstRow="1" w:lastRow="0" w:firstColumn="1" w:lastColumn="0" w:noHBand="0" w:noVBand="1"/>
      </w:tblPr>
      <w:tblGrid>
        <w:gridCol w:w="2022"/>
        <w:gridCol w:w="3094"/>
        <w:gridCol w:w="3180"/>
      </w:tblGrid>
      <w:tr w:rsidR="002210DD">
        <w:trPr>
          <w:trHeight w:val="312"/>
          <w:tblHeader/>
        </w:trPr>
        <w:tc>
          <w:tcPr>
            <w:tcW w:w="0" w:type="auto"/>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规范名称</w:t>
            </w:r>
          </w:p>
        </w:tc>
        <w:tc>
          <w:tcPr>
            <w:tcW w:w="0" w:type="auto"/>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污染物</w:t>
            </w:r>
          </w:p>
        </w:tc>
        <w:tc>
          <w:tcPr>
            <w:tcW w:w="0" w:type="auto"/>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气象因子</w:t>
            </w:r>
          </w:p>
        </w:tc>
      </w:tr>
      <w:tr w:rsidR="002210DD">
        <w:trPr>
          <w:trHeight w:val="312"/>
        </w:trPr>
        <w:tc>
          <w:tcPr>
            <w:tcW w:w="0" w:type="auto"/>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b/>
                <w:bCs/>
                <w:sz w:val="21"/>
              </w:rPr>
            </w:pPr>
          </w:p>
        </w:tc>
        <w:tc>
          <w:tcPr>
            <w:tcW w:w="0" w:type="auto"/>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b/>
                <w:bCs/>
                <w:sz w:val="21"/>
              </w:rPr>
            </w:pPr>
          </w:p>
        </w:tc>
        <w:tc>
          <w:tcPr>
            <w:tcW w:w="0" w:type="auto"/>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b/>
                <w:bCs/>
                <w:sz w:val="21"/>
              </w:rPr>
            </w:pPr>
          </w:p>
        </w:tc>
      </w:tr>
      <w:tr w:rsidR="002210DD">
        <w:trPr>
          <w:trHeight w:val="283"/>
        </w:trPr>
        <w:tc>
          <w:tcPr>
            <w:tcW w:w="0" w:type="auto"/>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国标</w:t>
            </w:r>
            <w:r>
              <w:rPr>
                <w:sz w:val="21"/>
              </w:rPr>
              <w:t>HJ654</w:t>
            </w:r>
          </w:p>
        </w:tc>
        <w:tc>
          <w:tcPr>
            <w:tcW w:w="0" w:type="auto"/>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SO</w:t>
            </w:r>
            <w:r>
              <w:rPr>
                <w:sz w:val="21"/>
                <w:vertAlign w:val="subscript"/>
              </w:rPr>
              <w:t>2</w:t>
            </w:r>
            <w:r>
              <w:rPr>
                <w:sz w:val="21"/>
              </w:rPr>
              <w:t>、</w:t>
            </w:r>
            <w:r>
              <w:rPr>
                <w:sz w:val="21"/>
              </w:rPr>
              <w:t>NO</w:t>
            </w:r>
            <w:r>
              <w:rPr>
                <w:sz w:val="21"/>
                <w:vertAlign w:val="subscript"/>
              </w:rPr>
              <w:t>2</w:t>
            </w:r>
            <w:r>
              <w:rPr>
                <w:sz w:val="21"/>
              </w:rPr>
              <w:t>、</w:t>
            </w:r>
            <w:r>
              <w:rPr>
                <w:sz w:val="21"/>
              </w:rPr>
              <w:t>O</w:t>
            </w:r>
            <w:r>
              <w:rPr>
                <w:sz w:val="21"/>
                <w:vertAlign w:val="subscript"/>
              </w:rPr>
              <w:t>3</w:t>
            </w:r>
            <w:r>
              <w:rPr>
                <w:sz w:val="21"/>
              </w:rPr>
              <w:t>、</w:t>
            </w:r>
            <w:r>
              <w:rPr>
                <w:sz w:val="21"/>
              </w:rPr>
              <w:t>CO</w:t>
            </w:r>
          </w:p>
        </w:tc>
        <w:tc>
          <w:tcPr>
            <w:tcW w:w="0" w:type="auto"/>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r>
      <w:tr w:rsidR="002210DD">
        <w:trPr>
          <w:trHeight w:val="283"/>
        </w:trPr>
        <w:tc>
          <w:tcPr>
            <w:tcW w:w="0" w:type="auto"/>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proofErr w:type="gramStart"/>
            <w:r>
              <w:rPr>
                <w:sz w:val="21"/>
              </w:rPr>
              <w:t>环办监测</w:t>
            </w:r>
            <w:proofErr w:type="gramEnd"/>
            <w:r>
              <w:rPr>
                <w:sz w:val="21"/>
              </w:rPr>
              <w:t>函</w:t>
            </w:r>
            <w:r>
              <w:rPr>
                <w:sz w:val="21"/>
              </w:rPr>
              <w:t xml:space="preserve"> [2017] 2027</w:t>
            </w:r>
            <w:r>
              <w:rPr>
                <w:sz w:val="21"/>
              </w:rPr>
              <w:t>号</w:t>
            </w:r>
          </w:p>
        </w:tc>
        <w:tc>
          <w:tcPr>
            <w:tcW w:w="0" w:type="auto"/>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PM</w:t>
            </w:r>
            <w:r>
              <w:rPr>
                <w:sz w:val="21"/>
                <w:vertAlign w:val="subscript"/>
              </w:rPr>
              <w:t>2.5</w:t>
            </w:r>
          </w:p>
        </w:tc>
        <w:tc>
          <w:tcPr>
            <w:tcW w:w="0" w:type="auto"/>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温度、湿度、大气压</w:t>
            </w:r>
          </w:p>
        </w:tc>
      </w:tr>
      <w:tr w:rsidR="002210DD">
        <w:trPr>
          <w:trHeight w:val="283"/>
        </w:trPr>
        <w:tc>
          <w:tcPr>
            <w:tcW w:w="0" w:type="auto"/>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地标</w:t>
            </w:r>
            <w:r>
              <w:rPr>
                <w:sz w:val="21"/>
              </w:rPr>
              <w:t>DB13/T2544</w:t>
            </w:r>
          </w:p>
        </w:tc>
        <w:tc>
          <w:tcPr>
            <w:tcW w:w="0" w:type="auto"/>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SO</w:t>
            </w:r>
            <w:r>
              <w:rPr>
                <w:sz w:val="21"/>
                <w:vertAlign w:val="subscript"/>
              </w:rPr>
              <w:t>2</w:t>
            </w:r>
            <w:r>
              <w:rPr>
                <w:sz w:val="21"/>
              </w:rPr>
              <w:t>、</w:t>
            </w:r>
            <w:r>
              <w:rPr>
                <w:sz w:val="21"/>
              </w:rPr>
              <w:t>NO</w:t>
            </w:r>
            <w:r>
              <w:rPr>
                <w:sz w:val="21"/>
                <w:vertAlign w:val="subscript"/>
              </w:rPr>
              <w:t>2</w:t>
            </w:r>
            <w:r>
              <w:rPr>
                <w:sz w:val="21"/>
              </w:rPr>
              <w:t>、</w:t>
            </w:r>
            <w:r>
              <w:rPr>
                <w:sz w:val="21"/>
              </w:rPr>
              <w:t>O</w:t>
            </w:r>
            <w:r>
              <w:rPr>
                <w:sz w:val="21"/>
                <w:vertAlign w:val="subscript"/>
              </w:rPr>
              <w:t>3</w:t>
            </w:r>
            <w:r>
              <w:rPr>
                <w:sz w:val="21"/>
              </w:rPr>
              <w:t>、</w:t>
            </w:r>
            <w:r>
              <w:rPr>
                <w:sz w:val="21"/>
              </w:rPr>
              <w:t>CO</w:t>
            </w:r>
            <w:r>
              <w:rPr>
                <w:sz w:val="21"/>
              </w:rPr>
              <w:t>，</w:t>
            </w:r>
            <w:r>
              <w:rPr>
                <w:sz w:val="21"/>
              </w:rPr>
              <w:br/>
            </w:r>
            <w:r>
              <w:rPr>
                <w:sz w:val="21"/>
              </w:rPr>
              <w:lastRenderedPageBreak/>
              <w:t>PM</w:t>
            </w:r>
            <w:r>
              <w:rPr>
                <w:sz w:val="21"/>
                <w:vertAlign w:val="subscript"/>
              </w:rPr>
              <w:t>10</w:t>
            </w:r>
            <w:r>
              <w:rPr>
                <w:sz w:val="21"/>
              </w:rPr>
              <w:t>、</w:t>
            </w:r>
            <w:r>
              <w:rPr>
                <w:sz w:val="21"/>
              </w:rPr>
              <w:t>PM</w:t>
            </w:r>
            <w:r>
              <w:rPr>
                <w:sz w:val="21"/>
                <w:vertAlign w:val="subscript"/>
              </w:rPr>
              <w:t>2.5</w:t>
            </w:r>
            <w:r>
              <w:rPr>
                <w:sz w:val="21"/>
              </w:rPr>
              <w:t>、</w:t>
            </w:r>
            <w:r>
              <w:rPr>
                <w:sz w:val="21"/>
              </w:rPr>
              <w:t>TVOC</w:t>
            </w:r>
          </w:p>
        </w:tc>
        <w:tc>
          <w:tcPr>
            <w:tcW w:w="0" w:type="auto"/>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lastRenderedPageBreak/>
              <w:t>/</w:t>
            </w:r>
          </w:p>
        </w:tc>
      </w:tr>
      <w:tr w:rsidR="002210DD">
        <w:trPr>
          <w:trHeight w:val="283"/>
        </w:trPr>
        <w:tc>
          <w:tcPr>
            <w:tcW w:w="0" w:type="auto"/>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rFonts w:hint="eastAsia"/>
                <w:sz w:val="21"/>
              </w:rPr>
              <w:t>比对测试结果</w:t>
            </w:r>
            <w:r>
              <w:rPr>
                <w:sz w:val="21"/>
              </w:rPr>
              <w:br/>
            </w:r>
            <w:r>
              <w:rPr>
                <w:sz w:val="21"/>
              </w:rPr>
              <w:t>（</w:t>
            </w:r>
            <w:r>
              <w:rPr>
                <w:sz w:val="21"/>
              </w:rPr>
              <w:t>13</w:t>
            </w:r>
            <w:r>
              <w:rPr>
                <w:sz w:val="21"/>
              </w:rPr>
              <w:t>台设备）</w:t>
            </w:r>
          </w:p>
        </w:tc>
        <w:tc>
          <w:tcPr>
            <w:tcW w:w="0" w:type="auto"/>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SO</w:t>
            </w:r>
            <w:r>
              <w:rPr>
                <w:sz w:val="21"/>
                <w:vertAlign w:val="subscript"/>
              </w:rPr>
              <w:t>2</w:t>
            </w:r>
            <w:r>
              <w:rPr>
                <w:sz w:val="21"/>
              </w:rPr>
              <w:t>、</w:t>
            </w:r>
            <w:r>
              <w:rPr>
                <w:sz w:val="21"/>
              </w:rPr>
              <w:t>NO-NO</w:t>
            </w:r>
            <w:r>
              <w:rPr>
                <w:sz w:val="21"/>
                <w:vertAlign w:val="subscript"/>
              </w:rPr>
              <w:t>2</w:t>
            </w:r>
            <w:r>
              <w:rPr>
                <w:sz w:val="21"/>
              </w:rPr>
              <w:t>-NOx</w:t>
            </w:r>
            <w:r>
              <w:rPr>
                <w:sz w:val="21"/>
              </w:rPr>
              <w:t>、</w:t>
            </w:r>
            <w:r>
              <w:rPr>
                <w:sz w:val="21"/>
              </w:rPr>
              <w:t>O</w:t>
            </w:r>
            <w:r>
              <w:rPr>
                <w:sz w:val="21"/>
                <w:vertAlign w:val="subscript"/>
              </w:rPr>
              <w:t>3</w:t>
            </w:r>
            <w:r>
              <w:rPr>
                <w:sz w:val="21"/>
              </w:rPr>
              <w:t>、</w:t>
            </w:r>
            <w:r>
              <w:rPr>
                <w:sz w:val="21"/>
              </w:rPr>
              <w:t>CO</w:t>
            </w:r>
            <w:r>
              <w:rPr>
                <w:sz w:val="21"/>
              </w:rPr>
              <w:t>、</w:t>
            </w:r>
            <w:r>
              <w:rPr>
                <w:sz w:val="21"/>
              </w:rPr>
              <w:t>PM</w:t>
            </w:r>
            <w:r>
              <w:rPr>
                <w:sz w:val="21"/>
                <w:vertAlign w:val="subscript"/>
              </w:rPr>
              <w:t>10</w:t>
            </w:r>
            <w:r>
              <w:rPr>
                <w:sz w:val="21"/>
              </w:rPr>
              <w:t>、</w:t>
            </w:r>
            <w:r>
              <w:rPr>
                <w:sz w:val="21"/>
              </w:rPr>
              <w:t>PM</w:t>
            </w:r>
            <w:r>
              <w:rPr>
                <w:sz w:val="21"/>
                <w:vertAlign w:val="subscript"/>
              </w:rPr>
              <w:t>2.5</w:t>
            </w:r>
            <w:r>
              <w:rPr>
                <w:sz w:val="21"/>
              </w:rPr>
              <w:t>等</w:t>
            </w:r>
          </w:p>
        </w:tc>
        <w:tc>
          <w:tcPr>
            <w:tcW w:w="0" w:type="auto"/>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color w:val="FF0000"/>
                <w:sz w:val="21"/>
              </w:rPr>
            </w:pPr>
            <w:r>
              <w:rPr>
                <w:sz w:val="21"/>
              </w:rPr>
              <w:t>温度、湿度、大气压、风速、风向</w:t>
            </w:r>
          </w:p>
        </w:tc>
      </w:tr>
      <w:tr w:rsidR="002210DD">
        <w:trPr>
          <w:trHeight w:val="283"/>
        </w:trPr>
        <w:tc>
          <w:tcPr>
            <w:tcW w:w="0" w:type="auto"/>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本规范</w:t>
            </w:r>
          </w:p>
        </w:tc>
        <w:tc>
          <w:tcPr>
            <w:tcW w:w="0" w:type="auto"/>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SO</w:t>
            </w:r>
            <w:r>
              <w:rPr>
                <w:sz w:val="21"/>
                <w:vertAlign w:val="subscript"/>
              </w:rPr>
              <w:t>2</w:t>
            </w:r>
            <w:r>
              <w:rPr>
                <w:sz w:val="21"/>
              </w:rPr>
              <w:t>、</w:t>
            </w:r>
            <w:r>
              <w:rPr>
                <w:sz w:val="21"/>
              </w:rPr>
              <w:t>NO</w:t>
            </w:r>
            <w:r>
              <w:rPr>
                <w:sz w:val="21"/>
                <w:vertAlign w:val="subscript"/>
              </w:rPr>
              <w:t>2</w:t>
            </w:r>
            <w:r>
              <w:rPr>
                <w:sz w:val="21"/>
              </w:rPr>
              <w:t>、</w:t>
            </w:r>
            <w:r>
              <w:rPr>
                <w:sz w:val="21"/>
              </w:rPr>
              <w:t>O</w:t>
            </w:r>
            <w:r>
              <w:rPr>
                <w:sz w:val="21"/>
                <w:vertAlign w:val="subscript"/>
              </w:rPr>
              <w:t>3</w:t>
            </w:r>
            <w:r>
              <w:rPr>
                <w:sz w:val="21"/>
              </w:rPr>
              <w:t>、</w:t>
            </w:r>
            <w:r>
              <w:rPr>
                <w:sz w:val="21"/>
              </w:rPr>
              <w:t>CO</w:t>
            </w:r>
            <w:r>
              <w:rPr>
                <w:sz w:val="21"/>
              </w:rPr>
              <w:t>，</w:t>
            </w:r>
            <w:r>
              <w:rPr>
                <w:sz w:val="21"/>
              </w:rPr>
              <w:br/>
              <w:t>NO</w:t>
            </w:r>
          </w:p>
        </w:tc>
        <w:tc>
          <w:tcPr>
            <w:tcW w:w="0" w:type="auto"/>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温度、湿度、大气压、风速、风向</w:t>
            </w:r>
          </w:p>
        </w:tc>
      </w:tr>
    </w:tbl>
    <w:p w:rsidR="002210DD" w:rsidRDefault="002210DD">
      <w:pPr>
        <w:ind w:firstLineChars="0" w:firstLine="0"/>
      </w:pPr>
    </w:p>
    <w:p w:rsidR="002210DD" w:rsidRDefault="00A205B8">
      <w:pPr>
        <w:ind w:firstLine="480"/>
      </w:pPr>
      <w:r>
        <w:t>考虑到环境空气气态污染物传感器法监测系统在实际监测中，可能应用于多场景环境，如道路、港口、机场、工业园区等，本规范要求气态污染物传感器法监测系统可以按照实际监测目的与需求对监测因子</w:t>
      </w:r>
      <w:proofErr w:type="gramStart"/>
      <w:r>
        <w:t>作出</w:t>
      </w:r>
      <w:proofErr w:type="gramEnd"/>
      <w:r>
        <w:t>调整。</w:t>
      </w:r>
    </w:p>
    <w:p w:rsidR="002210DD" w:rsidRDefault="00A205B8">
      <w:pPr>
        <w:ind w:firstLine="480"/>
      </w:pPr>
      <w:r>
        <w:t>我国当前城市道路空气质量监测工作相对薄弱，道路环境空气质量监测网络的建设将是今后环境监测的必然，道路环境空气质量监测网对传感器设备有较大需求。研究表明，城市道路空气质量监测</w:t>
      </w:r>
      <w:r>
        <w:t>NO</w:t>
      </w:r>
      <w:r>
        <w:rPr>
          <w:vertAlign w:val="subscript"/>
        </w:rPr>
        <w:t>x</w:t>
      </w:r>
      <w:r>
        <w:t>指标不同于一般站点监测，监测结果发现，交通道路空气</w:t>
      </w:r>
      <w:r>
        <w:t>NO</w:t>
      </w:r>
      <w:r>
        <w:rPr>
          <w:vertAlign w:val="subscript"/>
        </w:rPr>
        <w:t>x</w:t>
      </w:r>
      <w:r>
        <w:t>中</w:t>
      </w:r>
      <w:r>
        <w:t>NO</w:t>
      </w:r>
      <w:r>
        <w:rPr>
          <w:vertAlign w:val="subscript"/>
        </w:rPr>
        <w:t>2</w:t>
      </w:r>
      <w:r>
        <w:t>所占比例较低，而</w:t>
      </w:r>
      <w:r>
        <w:t>NO</w:t>
      </w:r>
      <w:r>
        <w:t>所占比例较高，因此评价道路空气污染指数采用</w:t>
      </w:r>
      <w:r>
        <w:t>NO</w:t>
      </w:r>
      <w:r>
        <w:t>指标较为适宜。综合设备实际情况，本规范增加</w:t>
      </w:r>
      <w:r>
        <w:t>NO</w:t>
      </w:r>
      <w:r>
        <w:t>为传感器法监测系统的特征监测因子。</w:t>
      </w:r>
    </w:p>
    <w:p w:rsidR="002210DD" w:rsidRDefault="00A205B8">
      <w:pPr>
        <w:pStyle w:val="4"/>
        <w:rPr>
          <w:rFonts w:ascii="Times New Roman" w:hAnsi="Times New Roman"/>
        </w:rPr>
      </w:pPr>
      <w:r>
        <w:rPr>
          <w:rFonts w:ascii="Times New Roman" w:hAnsi="Times New Roman"/>
        </w:rPr>
        <w:t>供电方式</w:t>
      </w:r>
    </w:p>
    <w:p w:rsidR="002210DD" w:rsidRDefault="00A205B8">
      <w:pPr>
        <w:ind w:firstLine="480"/>
        <w:rPr>
          <w:szCs w:val="24"/>
        </w:rPr>
      </w:pPr>
      <w:r>
        <w:rPr>
          <w:szCs w:val="24"/>
        </w:rPr>
        <w:t>可采取市政供电或</w:t>
      </w:r>
      <w:r>
        <w:rPr>
          <w:rFonts w:hint="eastAsia"/>
          <w:szCs w:val="24"/>
        </w:rPr>
        <w:t>电池</w:t>
      </w:r>
      <w:r>
        <w:rPr>
          <w:szCs w:val="24"/>
        </w:rPr>
        <w:t>供电。</w:t>
      </w:r>
      <w:r>
        <w:rPr>
          <w:rFonts w:hint="eastAsia"/>
          <w:szCs w:val="24"/>
        </w:rPr>
        <w:t>配置的</w:t>
      </w:r>
      <w:r>
        <w:rPr>
          <w:szCs w:val="24"/>
        </w:rPr>
        <w:t>备用电池，支持断电后工作</w:t>
      </w:r>
      <w:r>
        <w:rPr>
          <w:rFonts w:hint="eastAsia"/>
          <w:szCs w:val="24"/>
        </w:rPr>
        <w:t>时长不少于</w:t>
      </w:r>
      <w:r>
        <w:rPr>
          <w:rFonts w:hint="eastAsia"/>
          <w:szCs w:val="24"/>
        </w:rPr>
        <w:t>8</w:t>
      </w:r>
      <w:r>
        <w:rPr>
          <w:szCs w:val="24"/>
        </w:rPr>
        <w:t>小时。</w:t>
      </w:r>
    </w:p>
    <w:p w:rsidR="002210DD" w:rsidRDefault="00A205B8">
      <w:pPr>
        <w:ind w:firstLine="480"/>
      </w:pPr>
      <w:r>
        <w:t>此条参考《网格化环境空气质量监测仪认证技术规范》（</w:t>
      </w:r>
      <w:r>
        <w:t>RJGF 008-2021</w:t>
      </w:r>
      <w:r>
        <w:t>）的</w:t>
      </w:r>
      <w:r>
        <w:t>5.3.2</w:t>
      </w:r>
      <w:r>
        <w:t>要求。为尽可能减少监测系统设备外供断电等异常情况对监测数据连续性的影响，本规范要求传感器法监测设备内含备用电池</w:t>
      </w:r>
      <w:r>
        <w:rPr>
          <w:rFonts w:hint="eastAsia"/>
        </w:rPr>
        <w:t>或外置电池</w:t>
      </w:r>
      <w:r>
        <w:t>，且支持断电后至少工作</w:t>
      </w:r>
      <w:r>
        <w:t>8</w:t>
      </w:r>
      <w:r>
        <w:t>小时的时间需求。</w:t>
      </w:r>
    </w:p>
    <w:p w:rsidR="002210DD" w:rsidRDefault="00A205B8">
      <w:pPr>
        <w:pStyle w:val="4"/>
        <w:rPr>
          <w:rFonts w:ascii="Times New Roman" w:hAnsi="Times New Roman"/>
        </w:rPr>
      </w:pPr>
      <w:r>
        <w:rPr>
          <w:rFonts w:ascii="Times New Roman" w:hAnsi="Times New Roman"/>
        </w:rPr>
        <w:t>数据采集</w:t>
      </w:r>
    </w:p>
    <w:p w:rsidR="002210DD" w:rsidRDefault="00A205B8">
      <w:pPr>
        <w:ind w:firstLine="480"/>
      </w:pPr>
      <w:r>
        <w:rPr>
          <w:rFonts w:hint="eastAsia"/>
        </w:rPr>
        <w:t>数据检测周期≤</w:t>
      </w:r>
      <w:r>
        <w:rPr>
          <w:rFonts w:hint="eastAsia"/>
        </w:rPr>
        <w:t>1min</w:t>
      </w:r>
      <w:r>
        <w:t>，每小时监测时间应</w:t>
      </w:r>
      <w:r>
        <w:t>≥45min</w:t>
      </w:r>
      <w:r>
        <w:t>。</w:t>
      </w:r>
    </w:p>
    <w:p w:rsidR="002210DD" w:rsidRDefault="00A205B8">
      <w:pPr>
        <w:ind w:firstLine="480"/>
      </w:pPr>
      <w:r>
        <w:t>由于气态污染物传感器法监测均为连续测量，此条参考《环境空气质量自动监测技术规范》（</w:t>
      </w:r>
      <w:r>
        <w:t>HJ T 193 2005</w:t>
      </w:r>
      <w:r>
        <w:t>）的</w:t>
      </w:r>
      <w:r>
        <w:t>5.2</w:t>
      </w:r>
      <w:r>
        <w:t>要求，要求传感器法监测设备每小时监测时间应</w:t>
      </w:r>
      <w:r>
        <w:t>≥45min</w:t>
      </w:r>
      <w:r>
        <w:t>，保证在每小时中采集到监测分析仪器正常输出一次值的</w:t>
      </w:r>
      <w:r>
        <w:t>75%</w:t>
      </w:r>
      <w:r>
        <w:t>以上。</w:t>
      </w:r>
    </w:p>
    <w:p w:rsidR="002210DD" w:rsidRDefault="00A205B8">
      <w:pPr>
        <w:pStyle w:val="4"/>
        <w:rPr>
          <w:rFonts w:ascii="Times New Roman" w:hAnsi="Times New Roman"/>
        </w:rPr>
      </w:pPr>
      <w:r>
        <w:rPr>
          <w:rFonts w:ascii="Times New Roman" w:hAnsi="Times New Roman"/>
        </w:rPr>
        <w:lastRenderedPageBreak/>
        <w:t>数据查看与存储</w:t>
      </w:r>
    </w:p>
    <w:p w:rsidR="002210DD" w:rsidRDefault="00A205B8">
      <w:pPr>
        <w:tabs>
          <w:tab w:val="left" w:pos="420"/>
        </w:tabs>
        <w:ind w:firstLine="480"/>
        <w:rPr>
          <w:szCs w:val="24"/>
        </w:rPr>
      </w:pPr>
      <w:r>
        <w:rPr>
          <w:szCs w:val="24"/>
        </w:rPr>
        <w:t>可通过设备主机显示面板或其他无线传输方式现场读取监测数据，并能够记录存储至少</w:t>
      </w:r>
      <w:r>
        <w:rPr>
          <w:szCs w:val="24"/>
        </w:rPr>
        <w:t>3</w:t>
      </w:r>
      <w:r>
        <w:rPr>
          <w:szCs w:val="24"/>
        </w:rPr>
        <w:t>个月以上的有效数据。</w:t>
      </w:r>
    </w:p>
    <w:p w:rsidR="002210DD" w:rsidRDefault="00A205B8">
      <w:pPr>
        <w:ind w:firstLine="480"/>
      </w:pPr>
      <w:r>
        <w:t>为了便于监测系统设备的现场质控工作，本规范建议监测设备需配备显示面板，可以现场直接读取监测数值。未配备显示面板的设备应采用无线、</w:t>
      </w:r>
      <w:proofErr w:type="gramStart"/>
      <w:r>
        <w:t>蓝牙等</w:t>
      </w:r>
      <w:proofErr w:type="gramEnd"/>
      <w:r>
        <w:t>其他传输方式保证可以现场读取监测数据。</w:t>
      </w:r>
    </w:p>
    <w:p w:rsidR="002210DD" w:rsidRDefault="00A205B8">
      <w:pPr>
        <w:pStyle w:val="a7"/>
        <w:spacing w:before="156"/>
      </w:pPr>
      <w:r>
        <w:t>表</w:t>
      </w:r>
      <w:r>
        <w:t>5.4-</w:t>
      </w:r>
      <w:r>
        <w:rPr>
          <w:rFonts w:hint="eastAsia"/>
        </w:rPr>
        <w:t>4</w:t>
      </w:r>
      <w:r>
        <w:t xml:space="preserve">  </w:t>
      </w:r>
      <w:r>
        <w:t>其他功能对比</w:t>
      </w:r>
    </w:p>
    <w:tbl>
      <w:tblPr>
        <w:tblpPr w:leftFromText="180" w:rightFromText="180" w:vertAnchor="text" w:horzAnchor="page" w:tblpXSpec="center" w:tblpY="76"/>
        <w:tblOverlap w:val="never"/>
        <w:tblW w:w="4998" w:type="pct"/>
        <w:jc w:val="center"/>
        <w:tblCellMar>
          <w:left w:w="0" w:type="dxa"/>
          <w:right w:w="0" w:type="dxa"/>
        </w:tblCellMar>
        <w:tblLook w:val="04A0" w:firstRow="1" w:lastRow="0" w:firstColumn="1" w:lastColumn="0" w:noHBand="0" w:noVBand="1"/>
      </w:tblPr>
      <w:tblGrid>
        <w:gridCol w:w="2224"/>
        <w:gridCol w:w="1654"/>
        <w:gridCol w:w="2022"/>
        <w:gridCol w:w="1259"/>
        <w:gridCol w:w="1134"/>
      </w:tblGrid>
      <w:tr w:rsidR="002210DD">
        <w:trPr>
          <w:trHeight w:val="340"/>
          <w:jc w:val="center"/>
        </w:trPr>
        <w:tc>
          <w:tcPr>
            <w:tcW w:w="1339"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规范名称</w:t>
            </w:r>
          </w:p>
        </w:tc>
        <w:tc>
          <w:tcPr>
            <w:tcW w:w="997" w:type="pct"/>
            <w:vMerge w:val="restart"/>
            <w:tcBorders>
              <w:top w:val="single" w:sz="4" w:space="0" w:color="000000"/>
              <w:left w:val="single" w:sz="4" w:space="0" w:color="000000"/>
              <w:right w:val="single" w:sz="4" w:space="0" w:color="auto"/>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整机功耗</w:t>
            </w:r>
          </w:p>
        </w:tc>
        <w:tc>
          <w:tcPr>
            <w:tcW w:w="1978" w:type="pct"/>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供电</w:t>
            </w:r>
          </w:p>
        </w:tc>
        <w:tc>
          <w:tcPr>
            <w:tcW w:w="684"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数据存储</w:t>
            </w:r>
          </w:p>
        </w:tc>
      </w:tr>
      <w:tr w:rsidR="002210DD">
        <w:trPr>
          <w:trHeight w:val="340"/>
          <w:jc w:val="center"/>
        </w:trPr>
        <w:tc>
          <w:tcPr>
            <w:tcW w:w="1339"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b/>
                <w:bCs/>
                <w:sz w:val="21"/>
              </w:rPr>
            </w:pPr>
          </w:p>
        </w:tc>
        <w:tc>
          <w:tcPr>
            <w:tcW w:w="997" w:type="pct"/>
            <w:vMerge/>
            <w:tcBorders>
              <w:left w:val="single" w:sz="4" w:space="0" w:color="000000"/>
              <w:bottom w:val="single" w:sz="4" w:space="0" w:color="000000"/>
              <w:right w:val="single" w:sz="4" w:space="0" w:color="auto"/>
            </w:tcBorders>
            <w:tcMar>
              <w:top w:w="15" w:type="dxa"/>
              <w:left w:w="15" w:type="dxa"/>
              <w:right w:w="15" w:type="dxa"/>
            </w:tcMar>
            <w:vAlign w:val="center"/>
          </w:tcPr>
          <w:p w:rsidR="002210DD" w:rsidRDefault="002210DD">
            <w:pPr>
              <w:spacing w:line="240" w:lineRule="auto"/>
              <w:ind w:firstLineChars="0" w:firstLine="0"/>
              <w:jc w:val="center"/>
              <w:rPr>
                <w:b/>
                <w:bCs/>
                <w:sz w:val="21"/>
              </w:rPr>
            </w:pPr>
          </w:p>
        </w:tc>
        <w:tc>
          <w:tcPr>
            <w:tcW w:w="1219"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供电方式</w:t>
            </w:r>
          </w:p>
        </w:tc>
        <w:tc>
          <w:tcPr>
            <w:tcW w:w="759"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电池续航能力</w:t>
            </w:r>
          </w:p>
        </w:tc>
        <w:tc>
          <w:tcPr>
            <w:tcW w:w="684"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b/>
                <w:bCs/>
                <w:sz w:val="21"/>
              </w:rPr>
            </w:pPr>
          </w:p>
        </w:tc>
      </w:tr>
      <w:tr w:rsidR="002210DD">
        <w:trPr>
          <w:trHeight w:val="418"/>
          <w:jc w:val="center"/>
        </w:trPr>
        <w:tc>
          <w:tcPr>
            <w:tcW w:w="133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HJ654-2013</w:t>
            </w:r>
          </w:p>
        </w:tc>
        <w:tc>
          <w:tcPr>
            <w:tcW w:w="99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1219" w:type="pct"/>
            <w:tcBorders>
              <w:top w:val="single" w:sz="4" w:space="0" w:color="auto"/>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市政供电</w:t>
            </w:r>
          </w:p>
        </w:tc>
        <w:tc>
          <w:tcPr>
            <w:tcW w:w="759" w:type="pct"/>
            <w:tcBorders>
              <w:top w:val="single" w:sz="4" w:space="0" w:color="auto"/>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68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≥3</w:t>
            </w:r>
            <w:r>
              <w:rPr>
                <w:sz w:val="21"/>
              </w:rPr>
              <w:t>月</w:t>
            </w:r>
          </w:p>
        </w:tc>
      </w:tr>
      <w:tr w:rsidR="002210DD">
        <w:trPr>
          <w:trHeight w:val="340"/>
          <w:jc w:val="center"/>
        </w:trPr>
        <w:tc>
          <w:tcPr>
            <w:tcW w:w="133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proofErr w:type="gramStart"/>
            <w:r>
              <w:rPr>
                <w:sz w:val="21"/>
              </w:rPr>
              <w:t>环办监测</w:t>
            </w:r>
            <w:proofErr w:type="gramEnd"/>
            <w:r>
              <w:rPr>
                <w:sz w:val="21"/>
              </w:rPr>
              <w:t>函</w:t>
            </w:r>
            <w:r>
              <w:rPr>
                <w:sz w:val="21"/>
              </w:rPr>
              <w:t xml:space="preserve"> [2017]2027</w:t>
            </w:r>
            <w:r>
              <w:rPr>
                <w:sz w:val="21"/>
              </w:rPr>
              <w:t>号</w:t>
            </w:r>
          </w:p>
        </w:tc>
        <w:tc>
          <w:tcPr>
            <w:tcW w:w="99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≤50W</w:t>
            </w:r>
          </w:p>
        </w:tc>
        <w:tc>
          <w:tcPr>
            <w:tcW w:w="121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市政供电、太阳能供电或两者结合</w:t>
            </w:r>
          </w:p>
        </w:tc>
        <w:tc>
          <w:tcPr>
            <w:tcW w:w="75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r>
              <w:rPr>
                <w:sz w:val="21"/>
              </w:rPr>
              <w:t>8h</w:t>
            </w:r>
          </w:p>
        </w:tc>
        <w:tc>
          <w:tcPr>
            <w:tcW w:w="68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r>
      <w:tr w:rsidR="002210DD">
        <w:trPr>
          <w:trHeight w:val="340"/>
          <w:jc w:val="center"/>
        </w:trPr>
        <w:tc>
          <w:tcPr>
            <w:tcW w:w="133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DB13/T2544—2017</w:t>
            </w:r>
          </w:p>
        </w:tc>
        <w:tc>
          <w:tcPr>
            <w:tcW w:w="99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121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市政供电或太阳能供电</w:t>
            </w:r>
          </w:p>
        </w:tc>
        <w:tc>
          <w:tcPr>
            <w:tcW w:w="75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≥30d</w:t>
            </w:r>
          </w:p>
        </w:tc>
        <w:tc>
          <w:tcPr>
            <w:tcW w:w="68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≥10</w:t>
            </w:r>
            <w:r>
              <w:rPr>
                <w:sz w:val="21"/>
              </w:rPr>
              <w:t>万条</w:t>
            </w:r>
          </w:p>
        </w:tc>
      </w:tr>
      <w:tr w:rsidR="002210DD">
        <w:trPr>
          <w:trHeight w:val="340"/>
          <w:jc w:val="center"/>
        </w:trPr>
        <w:tc>
          <w:tcPr>
            <w:tcW w:w="1339"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本规范</w:t>
            </w:r>
          </w:p>
        </w:tc>
        <w:tc>
          <w:tcPr>
            <w:tcW w:w="997"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≤50W</w:t>
            </w:r>
          </w:p>
        </w:tc>
        <w:tc>
          <w:tcPr>
            <w:tcW w:w="1219"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市政供电、电池供电</w:t>
            </w:r>
          </w:p>
        </w:tc>
        <w:tc>
          <w:tcPr>
            <w:tcW w:w="759"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≥8h</w:t>
            </w:r>
          </w:p>
        </w:tc>
        <w:tc>
          <w:tcPr>
            <w:tcW w:w="684"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≥3</w:t>
            </w:r>
            <w:r>
              <w:rPr>
                <w:sz w:val="21"/>
              </w:rPr>
              <w:t>月</w:t>
            </w:r>
          </w:p>
        </w:tc>
      </w:tr>
      <w:tr w:rsidR="002210DD">
        <w:trPr>
          <w:trHeight w:val="340"/>
          <w:jc w:val="center"/>
        </w:trPr>
        <w:tc>
          <w:tcPr>
            <w:tcW w:w="1339"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sz w:val="21"/>
              </w:rPr>
            </w:pPr>
          </w:p>
        </w:tc>
        <w:tc>
          <w:tcPr>
            <w:tcW w:w="997"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sz w:val="21"/>
              </w:rPr>
            </w:pPr>
          </w:p>
        </w:tc>
        <w:tc>
          <w:tcPr>
            <w:tcW w:w="1219"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sz w:val="21"/>
              </w:rPr>
            </w:pPr>
          </w:p>
        </w:tc>
        <w:tc>
          <w:tcPr>
            <w:tcW w:w="759"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sz w:val="21"/>
              </w:rPr>
            </w:pPr>
          </w:p>
        </w:tc>
        <w:tc>
          <w:tcPr>
            <w:tcW w:w="684"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sz w:val="21"/>
              </w:rPr>
            </w:pPr>
          </w:p>
        </w:tc>
      </w:tr>
    </w:tbl>
    <w:p w:rsidR="002210DD" w:rsidRDefault="00A205B8">
      <w:pPr>
        <w:pStyle w:val="4"/>
        <w:spacing w:before="156" w:after="156"/>
      </w:pPr>
      <w:r>
        <w:rPr>
          <w:rFonts w:hint="eastAsia"/>
        </w:rPr>
        <w:t>异常</w:t>
      </w:r>
      <w:r>
        <w:t>数据</w:t>
      </w:r>
      <w:r>
        <w:rPr>
          <w:rFonts w:hint="eastAsia"/>
        </w:rPr>
        <w:t>标记</w:t>
      </w:r>
    </w:p>
    <w:p w:rsidR="002210DD" w:rsidRDefault="00A205B8">
      <w:pPr>
        <w:tabs>
          <w:tab w:val="left" w:pos="420"/>
        </w:tabs>
        <w:ind w:firstLine="480"/>
        <w:rPr>
          <w:szCs w:val="24"/>
        </w:rPr>
      </w:pPr>
      <w:r>
        <w:rPr>
          <w:rFonts w:hint="eastAsia"/>
          <w:szCs w:val="24"/>
        </w:rPr>
        <w:t>具有数据标记功能，应能标记设备维护、校准、故障、检修、更换或其他异常情况。</w:t>
      </w:r>
    </w:p>
    <w:p w:rsidR="002210DD" w:rsidRDefault="00A205B8">
      <w:pPr>
        <w:ind w:firstLine="480"/>
      </w:pPr>
      <w:r>
        <w:rPr>
          <w:rFonts w:hint="eastAsia"/>
        </w:rPr>
        <w:t>为了</w:t>
      </w:r>
      <w:r>
        <w:t>区分精细化管理过程中有效或者无效数据</w:t>
      </w:r>
      <w:r>
        <w:rPr>
          <w:rFonts w:hint="eastAsia"/>
        </w:rPr>
        <w:t>，要求具有</w:t>
      </w:r>
      <w:r>
        <w:t>数据标记功能，应能</w:t>
      </w:r>
      <w:r>
        <w:rPr>
          <w:rFonts w:hint="eastAsia"/>
        </w:rPr>
        <w:t>按照相关规范要求</w:t>
      </w:r>
      <w:r>
        <w:t>标记</w:t>
      </w:r>
      <w:r>
        <w:rPr>
          <w:rFonts w:hint="eastAsia"/>
        </w:rPr>
        <w:t>设备</w:t>
      </w:r>
      <w:r>
        <w:t>维护、校准、故障</w:t>
      </w:r>
      <w:r>
        <w:rPr>
          <w:rFonts w:hint="eastAsia"/>
        </w:rPr>
        <w:t>等</w:t>
      </w:r>
      <w:r>
        <w:t>异常情况。</w:t>
      </w:r>
    </w:p>
    <w:p w:rsidR="002210DD" w:rsidRDefault="00A205B8">
      <w:pPr>
        <w:pStyle w:val="3"/>
      </w:pPr>
      <w:r>
        <w:t>通信要求</w:t>
      </w:r>
    </w:p>
    <w:p w:rsidR="002210DD" w:rsidRDefault="00A205B8">
      <w:pPr>
        <w:ind w:firstLine="480"/>
      </w:pPr>
      <w:r>
        <w:rPr>
          <w:szCs w:val="24"/>
        </w:rPr>
        <w:t>支持断点续传、一点多传。监测单元数据到存储单元丢包率小于</w:t>
      </w:r>
      <w:r>
        <w:rPr>
          <w:szCs w:val="24"/>
        </w:rPr>
        <w:t>1%</w:t>
      </w:r>
      <w:r>
        <w:rPr>
          <w:szCs w:val="24"/>
        </w:rPr>
        <w:t>。</w:t>
      </w:r>
      <w:r>
        <w:t>若设备因网络信号差导致丢包，通信模块具备连接恢复后数据重发的功能。</w:t>
      </w:r>
    </w:p>
    <w:p w:rsidR="002210DD" w:rsidRDefault="00A205B8">
      <w:pPr>
        <w:ind w:firstLine="480"/>
      </w:pPr>
      <w:r>
        <w:t>此条参考《大气</w:t>
      </w:r>
      <w:r>
        <w:t>PM</w:t>
      </w:r>
      <w:r>
        <w:rPr>
          <w:vertAlign w:val="subscript"/>
        </w:rPr>
        <w:t>2.5</w:t>
      </w:r>
      <w:r>
        <w:t>网格化监测技术要求和检测方法技术规范》（</w:t>
      </w:r>
      <w:proofErr w:type="gramStart"/>
      <w:r>
        <w:t>环办监测</w:t>
      </w:r>
      <w:proofErr w:type="gramEnd"/>
      <w:r>
        <w:t>函</w:t>
      </w:r>
      <w:r>
        <w:t>[2017]2027</w:t>
      </w:r>
      <w:r>
        <w:t>号）的</w:t>
      </w:r>
      <w:r>
        <w:t>5.5</w:t>
      </w:r>
      <w:r>
        <w:t>要求。根据管理部门监测实施过程中对监测质量的监管需求，本规范要求监测系统数据可直接同时发送至设备厂家和环保部门管理平</w:t>
      </w:r>
      <w:r>
        <w:lastRenderedPageBreak/>
        <w:t>台。</w:t>
      </w:r>
    </w:p>
    <w:p w:rsidR="002210DD" w:rsidRDefault="00A205B8">
      <w:pPr>
        <w:pStyle w:val="3"/>
      </w:pPr>
      <w:r>
        <w:t>远程校</w:t>
      </w:r>
      <w:r>
        <w:rPr>
          <w:rFonts w:hint="eastAsia"/>
        </w:rPr>
        <w:t>核</w:t>
      </w:r>
    </w:p>
    <w:p w:rsidR="002210DD" w:rsidRDefault="00A205B8">
      <w:pPr>
        <w:tabs>
          <w:tab w:val="left" w:pos="420"/>
        </w:tabs>
        <w:ind w:firstLine="480"/>
      </w:pPr>
      <w:r>
        <w:t>具有远程校准功能，能够通过远程终端实现数据自动校</w:t>
      </w:r>
      <w:r>
        <w:rPr>
          <w:rFonts w:hint="eastAsia"/>
        </w:rPr>
        <w:t>核</w:t>
      </w:r>
      <w:r>
        <w:t>。</w:t>
      </w:r>
    </w:p>
    <w:p w:rsidR="002210DD" w:rsidRDefault="00A205B8">
      <w:pPr>
        <w:ind w:firstLineChars="0" w:firstLine="420"/>
      </w:pPr>
      <w:r>
        <w:t>由于实际监测中传感器设备安装数量一般较多，可以达到上百台，为了减少维护工作量，本规范要求传感器设备应具远程校</w:t>
      </w:r>
      <w:r>
        <w:rPr>
          <w:rFonts w:hint="eastAsia"/>
        </w:rPr>
        <w:t>核</w:t>
      </w:r>
      <w:r>
        <w:t>功能，能够通过远程终端实现数据自动校</w:t>
      </w:r>
      <w:r>
        <w:rPr>
          <w:rFonts w:hint="eastAsia"/>
        </w:rPr>
        <w:t>核</w:t>
      </w:r>
      <w:r>
        <w:t>。</w:t>
      </w:r>
    </w:p>
    <w:p w:rsidR="002210DD" w:rsidRDefault="00A205B8">
      <w:pPr>
        <w:pStyle w:val="3"/>
      </w:pPr>
      <w:r>
        <w:t>断电自动重联</w:t>
      </w:r>
    </w:p>
    <w:p w:rsidR="002210DD" w:rsidRDefault="00A205B8">
      <w:pPr>
        <w:ind w:firstLine="480"/>
        <w:rPr>
          <w:szCs w:val="24"/>
        </w:rPr>
      </w:pPr>
      <w:r>
        <w:rPr>
          <w:szCs w:val="24"/>
        </w:rPr>
        <w:t>监测系统设备外供电源掉电后，能自动保存历史数据；恢复供电后系统可自动启动，恢复运行状态并正常开始工作。</w:t>
      </w:r>
    </w:p>
    <w:p w:rsidR="002210DD" w:rsidRDefault="00A205B8">
      <w:pPr>
        <w:ind w:firstLine="480"/>
      </w:pPr>
      <w:r>
        <w:t>参考了《环境空气气态污染物</w:t>
      </w:r>
      <w:r>
        <w:rPr>
          <w:szCs w:val="24"/>
        </w:rPr>
        <w:t>（</w:t>
      </w:r>
      <w:r>
        <w:rPr>
          <w:szCs w:val="24"/>
        </w:rPr>
        <w:t>SO</w:t>
      </w:r>
      <w:r>
        <w:rPr>
          <w:szCs w:val="24"/>
          <w:vertAlign w:val="subscript"/>
        </w:rPr>
        <w:t>2</w:t>
      </w:r>
      <w:r>
        <w:rPr>
          <w:szCs w:val="24"/>
        </w:rPr>
        <w:t>、</w:t>
      </w:r>
      <w:r>
        <w:rPr>
          <w:szCs w:val="24"/>
        </w:rPr>
        <w:t>NO</w:t>
      </w:r>
      <w:r>
        <w:rPr>
          <w:szCs w:val="24"/>
          <w:vertAlign w:val="subscript"/>
        </w:rPr>
        <w:t>2</w:t>
      </w:r>
      <w:r>
        <w:rPr>
          <w:szCs w:val="24"/>
        </w:rPr>
        <w:t>、</w:t>
      </w:r>
      <w:r>
        <w:rPr>
          <w:szCs w:val="24"/>
        </w:rPr>
        <w:t>O</w:t>
      </w:r>
      <w:r>
        <w:rPr>
          <w:szCs w:val="24"/>
          <w:vertAlign w:val="subscript"/>
        </w:rPr>
        <w:t>3</w:t>
      </w:r>
      <w:r>
        <w:rPr>
          <w:szCs w:val="24"/>
        </w:rPr>
        <w:t>、</w:t>
      </w:r>
      <w:r>
        <w:rPr>
          <w:szCs w:val="24"/>
        </w:rPr>
        <w:t>CO</w:t>
      </w:r>
      <w:r>
        <w:rPr>
          <w:szCs w:val="24"/>
        </w:rPr>
        <w:t>）</w:t>
      </w:r>
      <w:r>
        <w:t>连续自动监测系统技术要求及检测方法》（</w:t>
      </w:r>
      <w:r>
        <w:t>HJ654-2013</w:t>
      </w:r>
      <w:r>
        <w:t>）的</w:t>
      </w:r>
      <w:r>
        <w:t>5.1.4.2</w:t>
      </w:r>
      <w:r>
        <w:t>中第（</w:t>
      </w:r>
      <w:r>
        <w:t>8</w:t>
      </w:r>
      <w:r>
        <w:t>）条要求。</w:t>
      </w:r>
    </w:p>
    <w:p w:rsidR="002210DD" w:rsidRDefault="00A205B8">
      <w:pPr>
        <w:pStyle w:val="2"/>
        <w:rPr>
          <w:rFonts w:ascii="Times New Roman" w:hAnsi="Times New Roman"/>
        </w:rPr>
      </w:pPr>
      <w:r>
        <w:rPr>
          <w:rFonts w:ascii="Times New Roman" w:hAnsi="Times New Roman"/>
        </w:rPr>
        <w:t>性能指标</w:t>
      </w:r>
    </w:p>
    <w:p w:rsidR="002210DD" w:rsidRDefault="00A205B8">
      <w:pPr>
        <w:ind w:firstLine="480"/>
      </w:pPr>
      <w:r>
        <w:t>本规范重点给出了各气态污染物监测单元的性能指标要求，表</w:t>
      </w:r>
      <w:r>
        <w:t>5.5-1</w:t>
      </w:r>
      <w:r>
        <w:t>为环境空气气态污染物传感器法自动监测系统检测项和性能指标列表，具体给出了每一项性能指标要求，参考国家标准</w:t>
      </w:r>
      <w:r>
        <w:t>HJ654-2013</w:t>
      </w:r>
      <w:r>
        <w:t>、《大气</w:t>
      </w:r>
      <w:r>
        <w:t>PM</w:t>
      </w:r>
      <w:r>
        <w:rPr>
          <w:vertAlign w:val="subscript"/>
        </w:rPr>
        <w:t>2.5</w:t>
      </w:r>
      <w:r>
        <w:t>网格化监测技术要求和检测方法技术规范》、地方标准</w:t>
      </w:r>
      <w:r>
        <w:t>DB 13/T 2544—2017</w:t>
      </w:r>
      <w:r>
        <w:t>和国内市场仪器性能实际情况制定。</w:t>
      </w:r>
    </w:p>
    <w:p w:rsidR="002210DD" w:rsidRDefault="00A205B8">
      <w:pPr>
        <w:ind w:firstLine="480"/>
      </w:pPr>
      <w:r>
        <w:t>总体上来说，传感器的性能要弱于标准方法。下文对各项性能指标进行详细阐述。</w:t>
      </w:r>
    </w:p>
    <w:p w:rsidR="002210DD" w:rsidRDefault="00A205B8">
      <w:pPr>
        <w:spacing w:beforeLines="50" w:before="156"/>
        <w:ind w:firstLineChars="0" w:firstLine="0"/>
        <w:jc w:val="center"/>
        <w:rPr>
          <w:b/>
          <w:sz w:val="21"/>
        </w:rPr>
      </w:pPr>
      <w:r>
        <w:rPr>
          <w:b/>
          <w:sz w:val="21"/>
        </w:rPr>
        <w:t>表</w:t>
      </w:r>
      <w:r>
        <w:rPr>
          <w:b/>
          <w:sz w:val="21"/>
        </w:rPr>
        <w:t xml:space="preserve">5.5-1  </w:t>
      </w:r>
      <w:r>
        <w:rPr>
          <w:b/>
          <w:sz w:val="21"/>
        </w:rPr>
        <w:t>环境空气气态污染物传感器法自动监测系统性能检测项目</w:t>
      </w:r>
    </w:p>
    <w:tbl>
      <w:tblPr>
        <w:tblW w:w="4997" w:type="pct"/>
        <w:tblLayout w:type="fixed"/>
        <w:tblCellMar>
          <w:left w:w="0" w:type="dxa"/>
          <w:right w:w="0" w:type="dxa"/>
        </w:tblCellMar>
        <w:tblLook w:val="04A0" w:firstRow="1" w:lastRow="0" w:firstColumn="1" w:lastColumn="0" w:noHBand="0" w:noVBand="1"/>
      </w:tblPr>
      <w:tblGrid>
        <w:gridCol w:w="1236"/>
        <w:gridCol w:w="1410"/>
        <w:gridCol w:w="1410"/>
        <w:gridCol w:w="1410"/>
        <w:gridCol w:w="1412"/>
        <w:gridCol w:w="1413"/>
      </w:tblGrid>
      <w:tr w:rsidR="002210DD">
        <w:trPr>
          <w:trHeight w:val="340"/>
          <w:tblHeader/>
        </w:trPr>
        <w:tc>
          <w:tcPr>
            <w:tcW w:w="745"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测量参数</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SO</w:t>
            </w:r>
            <w:r>
              <w:rPr>
                <w:sz w:val="18"/>
                <w:szCs w:val="18"/>
                <w:vertAlign w:val="subscript"/>
              </w:rPr>
              <w:t>2</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NO</w:t>
            </w:r>
            <w:r>
              <w:rPr>
                <w:sz w:val="18"/>
                <w:szCs w:val="18"/>
                <w:vertAlign w:val="subscript"/>
              </w:rPr>
              <w:t>2</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NO</w:t>
            </w:r>
          </w:p>
        </w:tc>
        <w:tc>
          <w:tcPr>
            <w:tcW w:w="85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O</w:t>
            </w:r>
            <w:r>
              <w:rPr>
                <w:sz w:val="18"/>
                <w:szCs w:val="18"/>
                <w:vertAlign w:val="subscript"/>
              </w:rPr>
              <w:t>3</w:t>
            </w:r>
          </w:p>
        </w:tc>
        <w:tc>
          <w:tcPr>
            <w:tcW w:w="85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CO</w:t>
            </w:r>
          </w:p>
        </w:tc>
      </w:tr>
      <w:tr w:rsidR="002210DD">
        <w:trPr>
          <w:trHeight w:val="340"/>
        </w:trPr>
        <w:tc>
          <w:tcPr>
            <w:tcW w:w="745"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测量范围</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 xml:space="preserve"> 0~500 nmol/mol</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 xml:space="preserve"> 0~</w:t>
            </w:r>
            <w:r>
              <w:rPr>
                <w:rFonts w:hint="eastAsia"/>
                <w:sz w:val="18"/>
                <w:szCs w:val="18"/>
              </w:rPr>
              <w:t>1</w:t>
            </w:r>
            <w:r>
              <w:rPr>
                <w:sz w:val="18"/>
                <w:szCs w:val="18"/>
              </w:rPr>
              <w:t>000 nmol/mol</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 xml:space="preserve"> 0~</w:t>
            </w:r>
            <w:r>
              <w:rPr>
                <w:rFonts w:hint="eastAsia"/>
                <w:sz w:val="18"/>
                <w:szCs w:val="18"/>
              </w:rPr>
              <w:t>2</w:t>
            </w:r>
            <w:r>
              <w:rPr>
                <w:sz w:val="18"/>
                <w:szCs w:val="18"/>
              </w:rPr>
              <w:t>000 nmol/mol</w:t>
            </w:r>
          </w:p>
        </w:tc>
        <w:tc>
          <w:tcPr>
            <w:tcW w:w="85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 xml:space="preserve"> 0~500 nmol/mol</w:t>
            </w:r>
          </w:p>
        </w:tc>
        <w:tc>
          <w:tcPr>
            <w:tcW w:w="85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 xml:space="preserve"> 0~50 μmol/mol</w:t>
            </w:r>
          </w:p>
        </w:tc>
      </w:tr>
      <w:tr w:rsidR="002210DD">
        <w:trPr>
          <w:trHeight w:val="340"/>
        </w:trPr>
        <w:tc>
          <w:tcPr>
            <w:tcW w:w="745"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零点噪声</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≤2</w:t>
            </w:r>
            <w:r>
              <w:rPr>
                <w:rFonts w:hint="eastAsia"/>
                <w:sz w:val="18"/>
                <w:szCs w:val="18"/>
              </w:rPr>
              <w:t>.5</w:t>
            </w:r>
            <w:r>
              <w:rPr>
                <w:sz w:val="18"/>
                <w:szCs w:val="18"/>
              </w:rPr>
              <w:t xml:space="preserve"> nmol/mol</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≤2</w:t>
            </w:r>
            <w:r>
              <w:rPr>
                <w:rFonts w:hint="eastAsia"/>
                <w:sz w:val="18"/>
                <w:szCs w:val="18"/>
              </w:rPr>
              <w:t>.5</w:t>
            </w:r>
            <w:r>
              <w:rPr>
                <w:sz w:val="18"/>
                <w:szCs w:val="18"/>
              </w:rPr>
              <w:t xml:space="preserve"> nmol/mol</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≤2</w:t>
            </w:r>
            <w:r>
              <w:rPr>
                <w:rFonts w:hint="eastAsia"/>
                <w:sz w:val="18"/>
                <w:szCs w:val="18"/>
              </w:rPr>
              <w:t>.5</w:t>
            </w:r>
            <w:r>
              <w:rPr>
                <w:sz w:val="18"/>
                <w:szCs w:val="18"/>
              </w:rPr>
              <w:t xml:space="preserve"> nmol/mol</w:t>
            </w:r>
          </w:p>
        </w:tc>
        <w:tc>
          <w:tcPr>
            <w:tcW w:w="85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≤2</w:t>
            </w:r>
            <w:r>
              <w:rPr>
                <w:rFonts w:hint="eastAsia"/>
                <w:sz w:val="18"/>
                <w:szCs w:val="18"/>
              </w:rPr>
              <w:t>.5</w:t>
            </w:r>
            <w:r>
              <w:rPr>
                <w:sz w:val="18"/>
                <w:szCs w:val="18"/>
              </w:rPr>
              <w:t xml:space="preserve"> nmol/mol</w:t>
            </w:r>
          </w:p>
        </w:tc>
        <w:tc>
          <w:tcPr>
            <w:tcW w:w="85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≤0.05 μmol/mol</w:t>
            </w:r>
          </w:p>
        </w:tc>
      </w:tr>
      <w:tr w:rsidR="002210DD">
        <w:trPr>
          <w:trHeight w:val="340"/>
        </w:trPr>
        <w:tc>
          <w:tcPr>
            <w:tcW w:w="745"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最低检出限</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w:t>
            </w:r>
            <w:r>
              <w:rPr>
                <w:rFonts w:hint="eastAsia"/>
                <w:sz w:val="18"/>
                <w:szCs w:val="18"/>
              </w:rPr>
              <w:t>5</w:t>
            </w:r>
            <w:r>
              <w:rPr>
                <w:sz w:val="18"/>
                <w:szCs w:val="18"/>
              </w:rPr>
              <w:t xml:space="preserve"> nmol/mol</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w:t>
            </w:r>
            <w:r>
              <w:rPr>
                <w:rFonts w:hint="eastAsia"/>
                <w:sz w:val="18"/>
                <w:szCs w:val="18"/>
              </w:rPr>
              <w:t>5</w:t>
            </w:r>
            <w:r>
              <w:rPr>
                <w:sz w:val="18"/>
                <w:szCs w:val="18"/>
              </w:rPr>
              <w:t xml:space="preserve"> nmol/mol</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w:t>
            </w:r>
            <w:r>
              <w:rPr>
                <w:rFonts w:hint="eastAsia"/>
                <w:sz w:val="18"/>
                <w:szCs w:val="18"/>
              </w:rPr>
              <w:t>5</w:t>
            </w:r>
            <w:r>
              <w:rPr>
                <w:sz w:val="18"/>
                <w:szCs w:val="18"/>
              </w:rPr>
              <w:t xml:space="preserve"> nmol/mol</w:t>
            </w:r>
          </w:p>
        </w:tc>
        <w:tc>
          <w:tcPr>
            <w:tcW w:w="85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w:t>
            </w:r>
            <w:r>
              <w:rPr>
                <w:rFonts w:hint="eastAsia"/>
                <w:sz w:val="18"/>
                <w:szCs w:val="18"/>
              </w:rPr>
              <w:t>5</w:t>
            </w:r>
            <w:r>
              <w:rPr>
                <w:sz w:val="18"/>
                <w:szCs w:val="18"/>
              </w:rPr>
              <w:t xml:space="preserve"> nmol/mol</w:t>
            </w:r>
          </w:p>
        </w:tc>
        <w:tc>
          <w:tcPr>
            <w:tcW w:w="85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≤0.1 μmol/mol</w:t>
            </w:r>
          </w:p>
        </w:tc>
      </w:tr>
      <w:tr w:rsidR="002210DD">
        <w:trPr>
          <w:trHeight w:val="340"/>
        </w:trPr>
        <w:tc>
          <w:tcPr>
            <w:tcW w:w="745"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量程噪声</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≤15 nmol/mol</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≤15 nmol/mol</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≤15 nmol/mol</w:t>
            </w:r>
          </w:p>
        </w:tc>
        <w:tc>
          <w:tcPr>
            <w:tcW w:w="85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≤15 nmol/mol</w:t>
            </w:r>
          </w:p>
        </w:tc>
        <w:tc>
          <w:tcPr>
            <w:tcW w:w="85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≤0.4 μmol/mol</w:t>
            </w:r>
          </w:p>
        </w:tc>
      </w:tr>
      <w:tr w:rsidR="002210DD">
        <w:trPr>
          <w:trHeight w:val="340"/>
        </w:trPr>
        <w:tc>
          <w:tcPr>
            <w:tcW w:w="745"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lastRenderedPageBreak/>
              <w:t>24h</w:t>
            </w:r>
            <w:r>
              <w:rPr>
                <w:sz w:val="18"/>
                <w:szCs w:val="18"/>
              </w:rPr>
              <w:t>零点漂移</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±10 nmol/mol</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±10 nmol/mol</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±10 nmol/mol</w:t>
            </w:r>
          </w:p>
        </w:tc>
        <w:tc>
          <w:tcPr>
            <w:tcW w:w="85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±10 nmol/mol</w:t>
            </w:r>
          </w:p>
        </w:tc>
        <w:tc>
          <w:tcPr>
            <w:tcW w:w="85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±1 μmol/mol</w:t>
            </w:r>
          </w:p>
        </w:tc>
      </w:tr>
      <w:tr w:rsidR="002210DD">
        <w:trPr>
          <w:trHeight w:val="340"/>
        </w:trPr>
        <w:tc>
          <w:tcPr>
            <w:tcW w:w="745"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 xml:space="preserve">24h </w:t>
            </w:r>
            <w:r>
              <w:rPr>
                <w:rFonts w:hint="eastAsia"/>
                <w:sz w:val="18"/>
                <w:szCs w:val="18"/>
              </w:rPr>
              <w:t>8</w:t>
            </w:r>
            <w:r>
              <w:rPr>
                <w:sz w:val="18"/>
                <w:szCs w:val="18"/>
              </w:rPr>
              <w:t>0%</w:t>
            </w:r>
            <w:r>
              <w:rPr>
                <w:sz w:val="18"/>
                <w:szCs w:val="18"/>
              </w:rPr>
              <w:t>量程漂移</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6"/>
                <w:szCs w:val="16"/>
              </w:rPr>
              <w:t>±10</w:t>
            </w:r>
            <w:r>
              <w:rPr>
                <w:rFonts w:hint="eastAsia"/>
                <w:sz w:val="16"/>
                <w:szCs w:val="16"/>
              </w:rPr>
              <w:t xml:space="preserve"> </w:t>
            </w:r>
            <w:r>
              <w:rPr>
                <w:sz w:val="16"/>
                <w:szCs w:val="16"/>
              </w:rPr>
              <w:t>nmol/mol</w:t>
            </w:r>
            <w:r>
              <w:rPr>
                <w:rFonts w:hint="eastAsia"/>
                <w:sz w:val="16"/>
                <w:szCs w:val="16"/>
              </w:rPr>
              <w:t>（</w:t>
            </w:r>
            <w:r>
              <w:rPr>
                <w:sz w:val="16"/>
                <w:szCs w:val="16"/>
              </w:rPr>
              <w:t>0~</w:t>
            </w:r>
            <w:r>
              <w:rPr>
                <w:rFonts w:hint="eastAsia"/>
                <w:sz w:val="16"/>
                <w:szCs w:val="16"/>
              </w:rPr>
              <w:t>1</w:t>
            </w:r>
            <w:r>
              <w:rPr>
                <w:sz w:val="16"/>
                <w:szCs w:val="16"/>
              </w:rPr>
              <w:t>00</w:t>
            </w:r>
            <w:r>
              <w:rPr>
                <w:rFonts w:hint="eastAsia"/>
                <w:sz w:val="16"/>
                <w:szCs w:val="16"/>
              </w:rPr>
              <w:t xml:space="preserve"> </w:t>
            </w:r>
            <w:r>
              <w:rPr>
                <w:sz w:val="16"/>
                <w:szCs w:val="16"/>
              </w:rPr>
              <w:t>nmol/mol</w:t>
            </w:r>
            <w:r>
              <w:rPr>
                <w:rFonts w:hint="eastAsia"/>
                <w:sz w:val="16"/>
                <w:szCs w:val="16"/>
              </w:rPr>
              <w:t>）</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6"/>
                <w:szCs w:val="16"/>
              </w:rPr>
              <w:t>±10</w:t>
            </w:r>
            <w:r>
              <w:rPr>
                <w:rFonts w:hint="eastAsia"/>
                <w:sz w:val="16"/>
                <w:szCs w:val="16"/>
              </w:rPr>
              <w:t xml:space="preserve"> </w:t>
            </w:r>
            <w:r>
              <w:rPr>
                <w:sz w:val="16"/>
                <w:szCs w:val="16"/>
              </w:rPr>
              <w:t>nmol/mol</w:t>
            </w:r>
            <w:r>
              <w:rPr>
                <w:rFonts w:hint="eastAsia"/>
                <w:sz w:val="16"/>
                <w:szCs w:val="16"/>
              </w:rPr>
              <w:t>（</w:t>
            </w:r>
            <w:r>
              <w:rPr>
                <w:sz w:val="16"/>
                <w:szCs w:val="16"/>
              </w:rPr>
              <w:t>0~</w:t>
            </w:r>
            <w:r>
              <w:rPr>
                <w:rFonts w:hint="eastAsia"/>
                <w:sz w:val="16"/>
                <w:szCs w:val="16"/>
              </w:rPr>
              <w:t>1</w:t>
            </w:r>
            <w:r>
              <w:rPr>
                <w:sz w:val="16"/>
                <w:szCs w:val="16"/>
              </w:rPr>
              <w:t>00</w:t>
            </w:r>
            <w:r>
              <w:rPr>
                <w:rFonts w:hint="eastAsia"/>
                <w:sz w:val="16"/>
                <w:szCs w:val="16"/>
              </w:rPr>
              <w:t xml:space="preserve"> </w:t>
            </w:r>
            <w:r>
              <w:rPr>
                <w:sz w:val="16"/>
                <w:szCs w:val="16"/>
              </w:rPr>
              <w:t>mol/mol</w:t>
            </w:r>
            <w:r>
              <w:rPr>
                <w:rFonts w:hint="eastAsia"/>
                <w:sz w:val="16"/>
                <w:szCs w:val="16"/>
              </w:rPr>
              <w:t>）</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6"/>
                <w:szCs w:val="16"/>
              </w:rPr>
              <w:t>±10</w:t>
            </w:r>
            <w:r>
              <w:rPr>
                <w:rFonts w:hint="eastAsia"/>
                <w:sz w:val="16"/>
                <w:szCs w:val="16"/>
              </w:rPr>
              <w:t xml:space="preserve"> </w:t>
            </w:r>
            <w:r>
              <w:rPr>
                <w:sz w:val="16"/>
                <w:szCs w:val="16"/>
              </w:rPr>
              <w:t>nmol/mol</w:t>
            </w:r>
            <w:r>
              <w:rPr>
                <w:rFonts w:hint="eastAsia"/>
                <w:sz w:val="16"/>
                <w:szCs w:val="16"/>
              </w:rPr>
              <w:t>（</w:t>
            </w:r>
            <w:r>
              <w:rPr>
                <w:sz w:val="16"/>
                <w:szCs w:val="16"/>
              </w:rPr>
              <w:t>0~</w:t>
            </w:r>
            <w:r>
              <w:rPr>
                <w:rFonts w:hint="eastAsia"/>
                <w:sz w:val="16"/>
                <w:szCs w:val="16"/>
              </w:rPr>
              <w:t>1</w:t>
            </w:r>
            <w:r>
              <w:rPr>
                <w:sz w:val="16"/>
                <w:szCs w:val="16"/>
              </w:rPr>
              <w:t>00</w:t>
            </w:r>
            <w:r>
              <w:rPr>
                <w:rFonts w:hint="eastAsia"/>
                <w:sz w:val="16"/>
                <w:szCs w:val="16"/>
              </w:rPr>
              <w:t xml:space="preserve"> </w:t>
            </w:r>
            <w:r>
              <w:rPr>
                <w:sz w:val="16"/>
                <w:szCs w:val="16"/>
              </w:rPr>
              <w:t>nmol/mol</w:t>
            </w:r>
            <w:r>
              <w:rPr>
                <w:rFonts w:hint="eastAsia"/>
                <w:sz w:val="16"/>
                <w:szCs w:val="16"/>
              </w:rPr>
              <w:t>）</w:t>
            </w:r>
          </w:p>
        </w:tc>
        <w:tc>
          <w:tcPr>
            <w:tcW w:w="85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6"/>
                <w:szCs w:val="16"/>
              </w:rPr>
              <w:t>±10</w:t>
            </w:r>
            <w:r>
              <w:rPr>
                <w:rFonts w:hint="eastAsia"/>
                <w:sz w:val="16"/>
                <w:szCs w:val="16"/>
              </w:rPr>
              <w:t xml:space="preserve"> </w:t>
            </w:r>
            <w:r>
              <w:rPr>
                <w:sz w:val="16"/>
                <w:szCs w:val="16"/>
              </w:rPr>
              <w:t>nmol/mol</w:t>
            </w:r>
            <w:r>
              <w:rPr>
                <w:rFonts w:hint="eastAsia"/>
                <w:sz w:val="16"/>
                <w:szCs w:val="16"/>
              </w:rPr>
              <w:t>（</w:t>
            </w:r>
            <w:r>
              <w:rPr>
                <w:sz w:val="16"/>
                <w:szCs w:val="16"/>
              </w:rPr>
              <w:t>0~</w:t>
            </w:r>
            <w:r>
              <w:rPr>
                <w:rFonts w:hint="eastAsia"/>
                <w:sz w:val="16"/>
                <w:szCs w:val="16"/>
              </w:rPr>
              <w:t>1</w:t>
            </w:r>
            <w:r>
              <w:rPr>
                <w:sz w:val="16"/>
                <w:szCs w:val="16"/>
              </w:rPr>
              <w:t>00</w:t>
            </w:r>
            <w:r>
              <w:rPr>
                <w:rFonts w:hint="eastAsia"/>
                <w:sz w:val="16"/>
                <w:szCs w:val="16"/>
              </w:rPr>
              <w:t xml:space="preserve"> </w:t>
            </w:r>
            <w:r>
              <w:rPr>
                <w:sz w:val="16"/>
                <w:szCs w:val="16"/>
              </w:rPr>
              <w:t>nmol/mol</w:t>
            </w:r>
            <w:r>
              <w:rPr>
                <w:rFonts w:hint="eastAsia"/>
                <w:sz w:val="16"/>
                <w:szCs w:val="16"/>
              </w:rPr>
              <w:t>）</w:t>
            </w:r>
          </w:p>
        </w:tc>
        <w:tc>
          <w:tcPr>
            <w:tcW w:w="85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6"/>
                <w:szCs w:val="16"/>
              </w:rPr>
            </w:pPr>
            <w:r>
              <w:rPr>
                <w:sz w:val="16"/>
                <w:szCs w:val="16"/>
              </w:rPr>
              <w:t>±1</w:t>
            </w:r>
            <w:r>
              <w:rPr>
                <w:rFonts w:hint="eastAsia"/>
                <w:sz w:val="16"/>
                <w:szCs w:val="16"/>
              </w:rPr>
              <w:t xml:space="preserve"> </w:t>
            </w:r>
            <w:r>
              <w:rPr>
                <w:sz w:val="18"/>
                <w:szCs w:val="18"/>
              </w:rPr>
              <w:t>μ</w:t>
            </w:r>
            <w:r>
              <w:rPr>
                <w:sz w:val="16"/>
                <w:szCs w:val="16"/>
              </w:rPr>
              <w:t>mol/mol</w:t>
            </w:r>
          </w:p>
          <w:p w:rsidR="002210DD" w:rsidRDefault="00A205B8">
            <w:pPr>
              <w:pStyle w:val="a8"/>
              <w:tabs>
                <w:tab w:val="left" w:pos="420"/>
              </w:tabs>
              <w:rPr>
                <w:sz w:val="18"/>
                <w:szCs w:val="18"/>
              </w:rPr>
            </w:pPr>
            <w:r>
              <w:rPr>
                <w:rFonts w:hint="eastAsia"/>
                <w:sz w:val="16"/>
                <w:szCs w:val="16"/>
              </w:rPr>
              <w:t>（</w:t>
            </w:r>
            <w:r>
              <w:rPr>
                <w:sz w:val="16"/>
                <w:szCs w:val="16"/>
              </w:rPr>
              <w:t>0~10</w:t>
            </w:r>
            <w:r>
              <w:rPr>
                <w:rFonts w:hint="eastAsia"/>
                <w:sz w:val="16"/>
                <w:szCs w:val="16"/>
              </w:rPr>
              <w:t xml:space="preserve"> </w:t>
            </w:r>
            <w:r>
              <w:rPr>
                <w:sz w:val="18"/>
                <w:szCs w:val="18"/>
              </w:rPr>
              <w:t>μ</w:t>
            </w:r>
            <w:r>
              <w:rPr>
                <w:sz w:val="16"/>
                <w:szCs w:val="16"/>
              </w:rPr>
              <w:t>mol/mol</w:t>
            </w:r>
            <w:r>
              <w:rPr>
                <w:rFonts w:hint="eastAsia"/>
                <w:sz w:val="16"/>
                <w:szCs w:val="16"/>
              </w:rPr>
              <w:t>）</w:t>
            </w:r>
          </w:p>
        </w:tc>
      </w:tr>
      <w:tr w:rsidR="002210DD">
        <w:trPr>
          <w:trHeight w:val="340"/>
        </w:trPr>
        <w:tc>
          <w:tcPr>
            <w:tcW w:w="745"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pStyle w:val="a8"/>
              <w:tabs>
                <w:tab w:val="left" w:pos="420"/>
              </w:tabs>
              <w:rPr>
                <w:sz w:val="18"/>
                <w:szCs w:val="18"/>
              </w:rPr>
            </w:pP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6"/>
                <w:szCs w:val="16"/>
              </w:rPr>
            </w:pPr>
            <w:r>
              <w:rPr>
                <w:sz w:val="16"/>
                <w:szCs w:val="16"/>
              </w:rPr>
              <w:t>±10%</w:t>
            </w:r>
          </w:p>
          <w:p w:rsidR="002210DD" w:rsidRDefault="00A205B8">
            <w:pPr>
              <w:pStyle w:val="a8"/>
              <w:tabs>
                <w:tab w:val="left" w:pos="420"/>
              </w:tabs>
              <w:rPr>
                <w:sz w:val="16"/>
                <w:szCs w:val="16"/>
              </w:rPr>
            </w:pPr>
            <w:r>
              <w:rPr>
                <w:rFonts w:hint="eastAsia"/>
                <w:sz w:val="16"/>
                <w:szCs w:val="16"/>
              </w:rPr>
              <w:t>（</w:t>
            </w:r>
            <w:r>
              <w:rPr>
                <w:rFonts w:hint="eastAsia"/>
                <w:sz w:val="16"/>
                <w:szCs w:val="16"/>
              </w:rPr>
              <w:t xml:space="preserve">100 ~500  </w:t>
            </w:r>
            <w:r>
              <w:rPr>
                <w:sz w:val="16"/>
                <w:szCs w:val="16"/>
              </w:rPr>
              <w:t>nmol/mol</w:t>
            </w:r>
            <w:r>
              <w:rPr>
                <w:rFonts w:hint="eastAsia"/>
                <w:sz w:val="16"/>
                <w:szCs w:val="16"/>
              </w:rPr>
              <w:t>）</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6"/>
                <w:szCs w:val="16"/>
              </w:rPr>
            </w:pPr>
            <w:r>
              <w:rPr>
                <w:sz w:val="16"/>
                <w:szCs w:val="16"/>
              </w:rPr>
              <w:t>±10%</w:t>
            </w:r>
          </w:p>
          <w:p w:rsidR="002210DD" w:rsidRDefault="00A205B8">
            <w:pPr>
              <w:pStyle w:val="a8"/>
              <w:tabs>
                <w:tab w:val="left" w:pos="420"/>
              </w:tabs>
              <w:rPr>
                <w:sz w:val="16"/>
                <w:szCs w:val="16"/>
              </w:rPr>
            </w:pPr>
            <w:r>
              <w:rPr>
                <w:rFonts w:hint="eastAsia"/>
                <w:sz w:val="16"/>
                <w:szCs w:val="16"/>
              </w:rPr>
              <w:t>（</w:t>
            </w:r>
            <w:r>
              <w:rPr>
                <w:rFonts w:hint="eastAsia"/>
                <w:sz w:val="16"/>
                <w:szCs w:val="16"/>
              </w:rPr>
              <w:t xml:space="preserve">100 ~1000  </w:t>
            </w:r>
            <w:r>
              <w:rPr>
                <w:sz w:val="16"/>
                <w:szCs w:val="16"/>
              </w:rPr>
              <w:t>nmol/mol</w:t>
            </w:r>
            <w:r>
              <w:rPr>
                <w:rFonts w:hint="eastAsia"/>
                <w:sz w:val="16"/>
                <w:szCs w:val="16"/>
              </w:rPr>
              <w:t>）</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6"/>
                <w:szCs w:val="16"/>
              </w:rPr>
            </w:pPr>
            <w:r>
              <w:rPr>
                <w:sz w:val="16"/>
                <w:szCs w:val="16"/>
              </w:rPr>
              <w:t>±10%</w:t>
            </w:r>
          </w:p>
          <w:p w:rsidR="002210DD" w:rsidRDefault="00A205B8">
            <w:pPr>
              <w:pStyle w:val="a8"/>
              <w:tabs>
                <w:tab w:val="left" w:pos="420"/>
              </w:tabs>
              <w:rPr>
                <w:sz w:val="16"/>
                <w:szCs w:val="16"/>
              </w:rPr>
            </w:pPr>
            <w:r>
              <w:rPr>
                <w:rFonts w:hint="eastAsia"/>
                <w:sz w:val="16"/>
                <w:szCs w:val="16"/>
              </w:rPr>
              <w:t>（</w:t>
            </w:r>
            <w:r>
              <w:rPr>
                <w:rFonts w:hint="eastAsia"/>
                <w:sz w:val="16"/>
                <w:szCs w:val="16"/>
              </w:rPr>
              <w:t xml:space="preserve">100 ~2000  </w:t>
            </w:r>
            <w:r>
              <w:rPr>
                <w:sz w:val="16"/>
                <w:szCs w:val="16"/>
              </w:rPr>
              <w:t>nmol/mol</w:t>
            </w:r>
            <w:r>
              <w:rPr>
                <w:rFonts w:hint="eastAsia"/>
                <w:sz w:val="16"/>
                <w:szCs w:val="16"/>
              </w:rPr>
              <w:t>）</w:t>
            </w:r>
          </w:p>
        </w:tc>
        <w:tc>
          <w:tcPr>
            <w:tcW w:w="85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6"/>
                <w:szCs w:val="16"/>
              </w:rPr>
            </w:pPr>
            <w:r>
              <w:rPr>
                <w:sz w:val="16"/>
                <w:szCs w:val="16"/>
              </w:rPr>
              <w:t>±10%</w:t>
            </w:r>
          </w:p>
          <w:p w:rsidR="002210DD" w:rsidRDefault="00A205B8">
            <w:pPr>
              <w:pStyle w:val="a8"/>
              <w:tabs>
                <w:tab w:val="left" w:pos="420"/>
              </w:tabs>
              <w:rPr>
                <w:sz w:val="16"/>
                <w:szCs w:val="16"/>
              </w:rPr>
            </w:pPr>
            <w:r>
              <w:rPr>
                <w:rFonts w:hint="eastAsia"/>
                <w:sz w:val="16"/>
                <w:szCs w:val="16"/>
              </w:rPr>
              <w:t>（</w:t>
            </w:r>
            <w:r>
              <w:rPr>
                <w:rFonts w:hint="eastAsia"/>
                <w:sz w:val="16"/>
                <w:szCs w:val="16"/>
              </w:rPr>
              <w:t xml:space="preserve">100 ~500  </w:t>
            </w:r>
            <w:r>
              <w:rPr>
                <w:sz w:val="16"/>
                <w:szCs w:val="16"/>
              </w:rPr>
              <w:t>nmol/mol</w:t>
            </w:r>
            <w:r>
              <w:rPr>
                <w:rFonts w:hint="eastAsia"/>
                <w:sz w:val="16"/>
                <w:szCs w:val="16"/>
              </w:rPr>
              <w:t>）</w:t>
            </w:r>
          </w:p>
        </w:tc>
        <w:tc>
          <w:tcPr>
            <w:tcW w:w="85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6"/>
                <w:szCs w:val="16"/>
              </w:rPr>
            </w:pPr>
            <w:r>
              <w:rPr>
                <w:sz w:val="16"/>
                <w:szCs w:val="16"/>
              </w:rPr>
              <w:t>±10%</w:t>
            </w:r>
          </w:p>
          <w:p w:rsidR="002210DD" w:rsidRDefault="00A205B8">
            <w:pPr>
              <w:pStyle w:val="a8"/>
              <w:tabs>
                <w:tab w:val="left" w:pos="420"/>
              </w:tabs>
              <w:rPr>
                <w:sz w:val="16"/>
                <w:szCs w:val="16"/>
              </w:rPr>
            </w:pPr>
            <w:r>
              <w:rPr>
                <w:rFonts w:hint="eastAsia"/>
                <w:sz w:val="16"/>
                <w:szCs w:val="16"/>
              </w:rPr>
              <w:t>（</w:t>
            </w:r>
            <w:r>
              <w:rPr>
                <w:rFonts w:hint="eastAsia"/>
                <w:sz w:val="16"/>
                <w:szCs w:val="16"/>
              </w:rPr>
              <w:t xml:space="preserve"> </w:t>
            </w:r>
            <w:r>
              <w:rPr>
                <w:sz w:val="16"/>
                <w:szCs w:val="16"/>
              </w:rPr>
              <w:t>10</w:t>
            </w:r>
            <w:r>
              <w:rPr>
                <w:rFonts w:hint="eastAsia"/>
                <w:sz w:val="16"/>
                <w:szCs w:val="16"/>
              </w:rPr>
              <w:t>~</w:t>
            </w:r>
            <w:r>
              <w:rPr>
                <w:sz w:val="16"/>
                <w:szCs w:val="16"/>
              </w:rPr>
              <w:t>50</w:t>
            </w:r>
            <w:r>
              <w:rPr>
                <w:rFonts w:hint="eastAsia"/>
                <w:sz w:val="16"/>
                <w:szCs w:val="16"/>
              </w:rPr>
              <w:t xml:space="preserve">  </w:t>
            </w:r>
            <w:r>
              <w:rPr>
                <w:sz w:val="18"/>
                <w:szCs w:val="18"/>
              </w:rPr>
              <w:t>μ</w:t>
            </w:r>
            <w:r>
              <w:rPr>
                <w:sz w:val="16"/>
                <w:szCs w:val="16"/>
              </w:rPr>
              <w:t>mol/mol</w:t>
            </w:r>
            <w:r>
              <w:rPr>
                <w:rFonts w:hint="eastAsia"/>
                <w:sz w:val="16"/>
                <w:szCs w:val="16"/>
              </w:rPr>
              <w:t>）</w:t>
            </w:r>
          </w:p>
        </w:tc>
      </w:tr>
      <w:tr w:rsidR="002210DD">
        <w:trPr>
          <w:trHeight w:val="340"/>
        </w:trPr>
        <w:tc>
          <w:tcPr>
            <w:tcW w:w="745"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pStyle w:val="a8"/>
              <w:tabs>
                <w:tab w:val="left" w:pos="420"/>
              </w:tabs>
              <w:rPr>
                <w:sz w:val="18"/>
                <w:szCs w:val="18"/>
              </w:rPr>
            </w:pPr>
            <w:r>
              <w:rPr>
                <w:sz w:val="18"/>
                <w:szCs w:val="18"/>
              </w:rPr>
              <w:t>响应时间（</w:t>
            </w:r>
            <w:r>
              <w:rPr>
                <w:rFonts w:hint="eastAsia"/>
                <w:sz w:val="18"/>
                <w:szCs w:val="18"/>
              </w:rPr>
              <w:t>T90</w:t>
            </w:r>
            <w:r>
              <w:rPr>
                <w:sz w:val="18"/>
                <w:szCs w:val="18"/>
              </w:rPr>
              <w:t>）</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w:t>
            </w:r>
            <w:r>
              <w:rPr>
                <w:rFonts w:hint="eastAsia"/>
                <w:sz w:val="18"/>
                <w:szCs w:val="18"/>
              </w:rPr>
              <w:t>2</w:t>
            </w:r>
            <w:r>
              <w:rPr>
                <w:sz w:val="18"/>
                <w:szCs w:val="18"/>
              </w:rPr>
              <w:t xml:space="preserve"> min</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w:t>
            </w:r>
            <w:r>
              <w:rPr>
                <w:rFonts w:hint="eastAsia"/>
                <w:sz w:val="18"/>
                <w:szCs w:val="18"/>
              </w:rPr>
              <w:t>2</w:t>
            </w:r>
            <w:r>
              <w:rPr>
                <w:sz w:val="18"/>
                <w:szCs w:val="18"/>
              </w:rPr>
              <w:t xml:space="preserve"> min</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w:t>
            </w:r>
            <w:r>
              <w:rPr>
                <w:rFonts w:hint="eastAsia"/>
                <w:sz w:val="18"/>
                <w:szCs w:val="18"/>
              </w:rPr>
              <w:t>2</w:t>
            </w:r>
            <w:r>
              <w:rPr>
                <w:sz w:val="18"/>
                <w:szCs w:val="18"/>
              </w:rPr>
              <w:t xml:space="preserve"> min</w:t>
            </w:r>
          </w:p>
        </w:tc>
        <w:tc>
          <w:tcPr>
            <w:tcW w:w="85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w:t>
            </w:r>
            <w:r>
              <w:rPr>
                <w:rFonts w:hint="eastAsia"/>
                <w:sz w:val="18"/>
                <w:szCs w:val="18"/>
              </w:rPr>
              <w:t>2</w:t>
            </w:r>
            <w:r>
              <w:rPr>
                <w:sz w:val="18"/>
                <w:szCs w:val="18"/>
              </w:rPr>
              <w:t xml:space="preserve"> min</w:t>
            </w:r>
          </w:p>
        </w:tc>
        <w:tc>
          <w:tcPr>
            <w:tcW w:w="85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w:t>
            </w:r>
            <w:r>
              <w:rPr>
                <w:rFonts w:hint="eastAsia"/>
                <w:sz w:val="18"/>
                <w:szCs w:val="18"/>
              </w:rPr>
              <w:t>2</w:t>
            </w:r>
            <w:r>
              <w:rPr>
                <w:sz w:val="18"/>
                <w:szCs w:val="18"/>
              </w:rPr>
              <w:t xml:space="preserve"> min</w:t>
            </w:r>
          </w:p>
        </w:tc>
      </w:tr>
      <w:tr w:rsidR="002210DD">
        <w:trPr>
          <w:trHeight w:val="340"/>
        </w:trPr>
        <w:tc>
          <w:tcPr>
            <w:tcW w:w="745"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pStyle w:val="a8"/>
              <w:tabs>
                <w:tab w:val="left" w:pos="420"/>
              </w:tabs>
              <w:rPr>
                <w:sz w:val="18"/>
                <w:szCs w:val="18"/>
              </w:rPr>
            </w:pPr>
            <w:r>
              <w:rPr>
                <w:rFonts w:hint="eastAsia"/>
                <w:sz w:val="18"/>
                <w:szCs w:val="18"/>
              </w:rPr>
              <w:t>仪器</w:t>
            </w:r>
            <w:r>
              <w:rPr>
                <w:sz w:val="18"/>
                <w:szCs w:val="18"/>
              </w:rPr>
              <w:t>平行性</w:t>
            </w:r>
          </w:p>
        </w:tc>
        <w:tc>
          <w:tcPr>
            <w:tcW w:w="850"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pStyle w:val="a8"/>
              <w:tabs>
                <w:tab w:val="left" w:pos="420"/>
              </w:tabs>
              <w:rPr>
                <w:sz w:val="18"/>
                <w:szCs w:val="18"/>
              </w:rPr>
            </w:pPr>
            <w:r>
              <w:rPr>
                <w:sz w:val="18"/>
                <w:szCs w:val="18"/>
              </w:rPr>
              <w:t>≤20%</w:t>
            </w:r>
          </w:p>
        </w:tc>
        <w:tc>
          <w:tcPr>
            <w:tcW w:w="850"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pStyle w:val="a8"/>
              <w:tabs>
                <w:tab w:val="left" w:pos="420"/>
              </w:tabs>
              <w:rPr>
                <w:sz w:val="18"/>
                <w:szCs w:val="18"/>
              </w:rPr>
            </w:pPr>
            <w:r>
              <w:rPr>
                <w:sz w:val="18"/>
                <w:szCs w:val="18"/>
              </w:rPr>
              <w:t>≤20%</w:t>
            </w:r>
          </w:p>
        </w:tc>
        <w:tc>
          <w:tcPr>
            <w:tcW w:w="850"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pStyle w:val="a8"/>
              <w:tabs>
                <w:tab w:val="left" w:pos="420"/>
              </w:tabs>
              <w:rPr>
                <w:sz w:val="18"/>
                <w:szCs w:val="18"/>
              </w:rPr>
            </w:pPr>
            <w:r>
              <w:rPr>
                <w:sz w:val="18"/>
                <w:szCs w:val="18"/>
              </w:rPr>
              <w:t>≤20%</w:t>
            </w:r>
          </w:p>
        </w:tc>
        <w:tc>
          <w:tcPr>
            <w:tcW w:w="851"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pStyle w:val="a8"/>
              <w:tabs>
                <w:tab w:val="left" w:pos="420"/>
              </w:tabs>
              <w:rPr>
                <w:sz w:val="18"/>
                <w:szCs w:val="18"/>
              </w:rPr>
            </w:pPr>
            <w:r>
              <w:rPr>
                <w:sz w:val="18"/>
                <w:szCs w:val="18"/>
              </w:rPr>
              <w:t>≤20%</w:t>
            </w:r>
          </w:p>
        </w:tc>
        <w:tc>
          <w:tcPr>
            <w:tcW w:w="852"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pStyle w:val="a8"/>
              <w:tabs>
                <w:tab w:val="left" w:pos="420"/>
              </w:tabs>
              <w:rPr>
                <w:sz w:val="18"/>
                <w:szCs w:val="18"/>
              </w:rPr>
            </w:pPr>
            <w:r>
              <w:rPr>
                <w:sz w:val="18"/>
                <w:szCs w:val="18"/>
              </w:rPr>
              <w:t>≤</w:t>
            </w:r>
            <w:r>
              <w:rPr>
                <w:rFonts w:hint="eastAsia"/>
                <w:sz w:val="18"/>
                <w:szCs w:val="18"/>
              </w:rPr>
              <w:t>20</w:t>
            </w:r>
            <w:r>
              <w:rPr>
                <w:sz w:val="18"/>
                <w:szCs w:val="18"/>
              </w:rPr>
              <w:t>%</w:t>
            </w:r>
          </w:p>
        </w:tc>
      </w:tr>
      <w:tr w:rsidR="002210DD">
        <w:trPr>
          <w:trHeight w:val="340"/>
        </w:trPr>
        <w:tc>
          <w:tcPr>
            <w:tcW w:w="745"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室外比对测试相关系数</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≥0.8</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≥0.8</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≥0.8</w:t>
            </w:r>
          </w:p>
        </w:tc>
        <w:tc>
          <w:tcPr>
            <w:tcW w:w="85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≥0.8</w:t>
            </w:r>
          </w:p>
        </w:tc>
        <w:tc>
          <w:tcPr>
            <w:tcW w:w="85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≥0.8</w:t>
            </w:r>
          </w:p>
        </w:tc>
      </w:tr>
      <w:tr w:rsidR="002210DD">
        <w:trPr>
          <w:trHeight w:val="340"/>
        </w:trPr>
        <w:tc>
          <w:tcPr>
            <w:tcW w:w="745"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室外比对测量误差</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6"/>
                <w:szCs w:val="16"/>
              </w:rPr>
            </w:pPr>
            <w:r>
              <w:rPr>
                <w:sz w:val="16"/>
                <w:szCs w:val="16"/>
              </w:rPr>
              <w:t>±10</w:t>
            </w:r>
            <w:r>
              <w:rPr>
                <w:rFonts w:hint="eastAsia"/>
                <w:sz w:val="16"/>
                <w:szCs w:val="16"/>
              </w:rPr>
              <w:t xml:space="preserve"> </w:t>
            </w:r>
            <w:r>
              <w:rPr>
                <w:sz w:val="16"/>
                <w:szCs w:val="16"/>
              </w:rPr>
              <w:t>nmol/mol</w:t>
            </w:r>
            <w:r>
              <w:rPr>
                <w:rFonts w:hint="eastAsia"/>
                <w:sz w:val="16"/>
                <w:szCs w:val="16"/>
              </w:rPr>
              <w:t>（</w:t>
            </w:r>
            <w:r>
              <w:rPr>
                <w:sz w:val="16"/>
                <w:szCs w:val="16"/>
              </w:rPr>
              <w:t>0~</w:t>
            </w:r>
            <w:r>
              <w:rPr>
                <w:rFonts w:hint="eastAsia"/>
                <w:sz w:val="16"/>
                <w:szCs w:val="16"/>
              </w:rPr>
              <w:t>1</w:t>
            </w:r>
            <w:r>
              <w:rPr>
                <w:sz w:val="16"/>
                <w:szCs w:val="16"/>
              </w:rPr>
              <w:t>00</w:t>
            </w:r>
            <w:r>
              <w:rPr>
                <w:rFonts w:hint="eastAsia"/>
                <w:sz w:val="16"/>
                <w:szCs w:val="16"/>
              </w:rPr>
              <w:t xml:space="preserve"> </w:t>
            </w:r>
            <w:r>
              <w:rPr>
                <w:sz w:val="16"/>
                <w:szCs w:val="16"/>
              </w:rPr>
              <w:t>nmol/mol</w:t>
            </w:r>
            <w:r>
              <w:rPr>
                <w:rFonts w:hint="eastAsia"/>
                <w:sz w:val="16"/>
                <w:szCs w:val="16"/>
              </w:rPr>
              <w:t>）</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6"/>
                <w:szCs w:val="16"/>
              </w:rPr>
              <w:t>±10</w:t>
            </w:r>
            <w:r>
              <w:rPr>
                <w:rFonts w:hint="eastAsia"/>
                <w:sz w:val="16"/>
                <w:szCs w:val="16"/>
              </w:rPr>
              <w:t xml:space="preserve"> </w:t>
            </w:r>
            <w:r>
              <w:rPr>
                <w:sz w:val="16"/>
                <w:szCs w:val="16"/>
              </w:rPr>
              <w:t>nmol/mol</w:t>
            </w:r>
            <w:r>
              <w:rPr>
                <w:rFonts w:hint="eastAsia"/>
                <w:sz w:val="16"/>
                <w:szCs w:val="16"/>
              </w:rPr>
              <w:t>（</w:t>
            </w:r>
            <w:r>
              <w:rPr>
                <w:sz w:val="16"/>
                <w:szCs w:val="16"/>
              </w:rPr>
              <w:t>0~</w:t>
            </w:r>
            <w:r>
              <w:rPr>
                <w:rFonts w:hint="eastAsia"/>
                <w:sz w:val="16"/>
                <w:szCs w:val="16"/>
              </w:rPr>
              <w:t>1</w:t>
            </w:r>
            <w:r>
              <w:rPr>
                <w:sz w:val="16"/>
                <w:szCs w:val="16"/>
              </w:rPr>
              <w:t>00</w:t>
            </w:r>
            <w:r>
              <w:rPr>
                <w:rFonts w:hint="eastAsia"/>
                <w:sz w:val="16"/>
                <w:szCs w:val="16"/>
              </w:rPr>
              <w:t xml:space="preserve"> </w:t>
            </w:r>
            <w:r>
              <w:rPr>
                <w:sz w:val="16"/>
                <w:szCs w:val="16"/>
              </w:rPr>
              <w:t>mol/mol</w:t>
            </w:r>
            <w:r>
              <w:rPr>
                <w:rFonts w:hint="eastAsia"/>
                <w:sz w:val="16"/>
                <w:szCs w:val="16"/>
              </w:rPr>
              <w:t>）</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6"/>
                <w:szCs w:val="16"/>
              </w:rPr>
              <w:t>±10</w:t>
            </w:r>
            <w:r>
              <w:rPr>
                <w:rFonts w:hint="eastAsia"/>
                <w:sz w:val="16"/>
                <w:szCs w:val="16"/>
              </w:rPr>
              <w:t xml:space="preserve"> </w:t>
            </w:r>
            <w:r>
              <w:rPr>
                <w:sz w:val="16"/>
                <w:szCs w:val="16"/>
              </w:rPr>
              <w:t>nmol/mol</w:t>
            </w:r>
            <w:r>
              <w:rPr>
                <w:rFonts w:hint="eastAsia"/>
                <w:sz w:val="16"/>
                <w:szCs w:val="16"/>
              </w:rPr>
              <w:t>（</w:t>
            </w:r>
            <w:r>
              <w:rPr>
                <w:sz w:val="16"/>
                <w:szCs w:val="16"/>
              </w:rPr>
              <w:t>0~</w:t>
            </w:r>
            <w:r>
              <w:rPr>
                <w:rFonts w:hint="eastAsia"/>
                <w:sz w:val="16"/>
                <w:szCs w:val="16"/>
              </w:rPr>
              <w:t>1</w:t>
            </w:r>
            <w:r>
              <w:rPr>
                <w:sz w:val="16"/>
                <w:szCs w:val="16"/>
              </w:rPr>
              <w:t>00</w:t>
            </w:r>
            <w:r>
              <w:rPr>
                <w:rFonts w:hint="eastAsia"/>
                <w:sz w:val="16"/>
                <w:szCs w:val="16"/>
              </w:rPr>
              <w:t xml:space="preserve"> </w:t>
            </w:r>
            <w:r>
              <w:rPr>
                <w:sz w:val="16"/>
                <w:szCs w:val="16"/>
              </w:rPr>
              <w:t>nmol/mol</w:t>
            </w:r>
            <w:r>
              <w:rPr>
                <w:rFonts w:hint="eastAsia"/>
                <w:sz w:val="16"/>
                <w:szCs w:val="16"/>
              </w:rPr>
              <w:t>）</w:t>
            </w:r>
          </w:p>
        </w:tc>
        <w:tc>
          <w:tcPr>
            <w:tcW w:w="85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6"/>
                <w:szCs w:val="16"/>
              </w:rPr>
              <w:t>±10</w:t>
            </w:r>
            <w:r>
              <w:rPr>
                <w:rFonts w:hint="eastAsia"/>
                <w:sz w:val="16"/>
                <w:szCs w:val="16"/>
              </w:rPr>
              <w:t xml:space="preserve"> </w:t>
            </w:r>
            <w:r>
              <w:rPr>
                <w:sz w:val="16"/>
                <w:szCs w:val="16"/>
              </w:rPr>
              <w:t>nmol/mol</w:t>
            </w:r>
            <w:r>
              <w:rPr>
                <w:rFonts w:hint="eastAsia"/>
                <w:sz w:val="16"/>
                <w:szCs w:val="16"/>
              </w:rPr>
              <w:t>（</w:t>
            </w:r>
            <w:r>
              <w:rPr>
                <w:sz w:val="16"/>
                <w:szCs w:val="16"/>
              </w:rPr>
              <w:t>0~</w:t>
            </w:r>
            <w:r>
              <w:rPr>
                <w:rFonts w:hint="eastAsia"/>
                <w:sz w:val="16"/>
                <w:szCs w:val="16"/>
              </w:rPr>
              <w:t>1</w:t>
            </w:r>
            <w:r>
              <w:rPr>
                <w:sz w:val="16"/>
                <w:szCs w:val="16"/>
              </w:rPr>
              <w:t>00</w:t>
            </w:r>
            <w:r>
              <w:rPr>
                <w:rFonts w:hint="eastAsia"/>
                <w:sz w:val="16"/>
                <w:szCs w:val="16"/>
              </w:rPr>
              <w:t xml:space="preserve"> </w:t>
            </w:r>
            <w:r>
              <w:rPr>
                <w:sz w:val="16"/>
                <w:szCs w:val="16"/>
              </w:rPr>
              <w:t>nmol/mol</w:t>
            </w:r>
            <w:r>
              <w:rPr>
                <w:rFonts w:hint="eastAsia"/>
                <w:sz w:val="16"/>
                <w:szCs w:val="16"/>
              </w:rPr>
              <w:t>）</w:t>
            </w:r>
          </w:p>
        </w:tc>
        <w:tc>
          <w:tcPr>
            <w:tcW w:w="85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6"/>
                <w:szCs w:val="16"/>
              </w:rPr>
            </w:pPr>
            <w:r>
              <w:rPr>
                <w:sz w:val="16"/>
                <w:szCs w:val="16"/>
              </w:rPr>
              <w:t>±1</w:t>
            </w:r>
            <w:r>
              <w:rPr>
                <w:rFonts w:hint="eastAsia"/>
                <w:sz w:val="16"/>
                <w:szCs w:val="16"/>
              </w:rPr>
              <w:t xml:space="preserve"> </w:t>
            </w:r>
            <w:r>
              <w:rPr>
                <w:sz w:val="18"/>
                <w:szCs w:val="18"/>
              </w:rPr>
              <w:t>μ</w:t>
            </w:r>
            <w:r>
              <w:rPr>
                <w:sz w:val="16"/>
                <w:szCs w:val="16"/>
              </w:rPr>
              <w:t>mol/mol</w:t>
            </w:r>
          </w:p>
          <w:p w:rsidR="002210DD" w:rsidRDefault="00A205B8">
            <w:pPr>
              <w:pStyle w:val="a8"/>
              <w:tabs>
                <w:tab w:val="left" w:pos="420"/>
              </w:tabs>
              <w:rPr>
                <w:sz w:val="18"/>
                <w:szCs w:val="18"/>
              </w:rPr>
            </w:pPr>
            <w:r>
              <w:rPr>
                <w:rFonts w:hint="eastAsia"/>
                <w:sz w:val="16"/>
                <w:szCs w:val="16"/>
              </w:rPr>
              <w:t>（</w:t>
            </w:r>
            <w:r>
              <w:rPr>
                <w:sz w:val="16"/>
                <w:szCs w:val="16"/>
              </w:rPr>
              <w:t>0~10</w:t>
            </w:r>
            <w:r>
              <w:rPr>
                <w:rFonts w:hint="eastAsia"/>
                <w:sz w:val="16"/>
                <w:szCs w:val="16"/>
              </w:rPr>
              <w:t xml:space="preserve"> </w:t>
            </w:r>
            <w:r>
              <w:rPr>
                <w:sz w:val="18"/>
                <w:szCs w:val="18"/>
              </w:rPr>
              <w:t>μ</w:t>
            </w:r>
            <w:r>
              <w:rPr>
                <w:sz w:val="16"/>
                <w:szCs w:val="16"/>
              </w:rPr>
              <w:t>mol/mol</w:t>
            </w:r>
            <w:r>
              <w:rPr>
                <w:rFonts w:hint="eastAsia"/>
                <w:sz w:val="16"/>
                <w:szCs w:val="16"/>
              </w:rPr>
              <w:t>）</w:t>
            </w:r>
          </w:p>
        </w:tc>
      </w:tr>
      <w:tr w:rsidR="002210DD">
        <w:trPr>
          <w:trHeight w:val="340"/>
        </w:trPr>
        <w:tc>
          <w:tcPr>
            <w:tcW w:w="745"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pStyle w:val="a8"/>
              <w:tabs>
                <w:tab w:val="left" w:pos="420"/>
              </w:tabs>
              <w:rPr>
                <w:sz w:val="18"/>
                <w:szCs w:val="18"/>
              </w:rPr>
            </w:pP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6"/>
                <w:szCs w:val="16"/>
              </w:rPr>
            </w:pPr>
            <w:r>
              <w:rPr>
                <w:sz w:val="16"/>
                <w:szCs w:val="16"/>
              </w:rPr>
              <w:t>±10%</w:t>
            </w:r>
          </w:p>
          <w:p w:rsidR="002210DD" w:rsidRDefault="00A205B8">
            <w:pPr>
              <w:pStyle w:val="a8"/>
              <w:tabs>
                <w:tab w:val="left" w:pos="420"/>
              </w:tabs>
              <w:rPr>
                <w:sz w:val="16"/>
                <w:szCs w:val="16"/>
              </w:rPr>
            </w:pPr>
            <w:r>
              <w:rPr>
                <w:rFonts w:hint="eastAsia"/>
                <w:sz w:val="16"/>
                <w:szCs w:val="16"/>
              </w:rPr>
              <w:t>（</w:t>
            </w:r>
            <w:r>
              <w:rPr>
                <w:rFonts w:hint="eastAsia"/>
                <w:sz w:val="16"/>
                <w:szCs w:val="16"/>
              </w:rPr>
              <w:t xml:space="preserve">100 ~500  </w:t>
            </w:r>
            <w:r>
              <w:rPr>
                <w:sz w:val="16"/>
                <w:szCs w:val="16"/>
              </w:rPr>
              <w:t>nmol/mol</w:t>
            </w:r>
            <w:r>
              <w:rPr>
                <w:rFonts w:hint="eastAsia"/>
                <w:sz w:val="16"/>
                <w:szCs w:val="16"/>
              </w:rPr>
              <w:t>）</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6"/>
                <w:szCs w:val="16"/>
              </w:rPr>
            </w:pPr>
            <w:r>
              <w:rPr>
                <w:sz w:val="16"/>
                <w:szCs w:val="16"/>
              </w:rPr>
              <w:t>±10%</w:t>
            </w:r>
          </w:p>
          <w:p w:rsidR="002210DD" w:rsidRDefault="00A205B8">
            <w:pPr>
              <w:pStyle w:val="a8"/>
              <w:tabs>
                <w:tab w:val="left" w:pos="420"/>
              </w:tabs>
              <w:rPr>
                <w:sz w:val="18"/>
                <w:szCs w:val="18"/>
              </w:rPr>
            </w:pPr>
            <w:r>
              <w:rPr>
                <w:rFonts w:hint="eastAsia"/>
                <w:sz w:val="16"/>
                <w:szCs w:val="16"/>
              </w:rPr>
              <w:t>（</w:t>
            </w:r>
            <w:r>
              <w:rPr>
                <w:rFonts w:hint="eastAsia"/>
                <w:sz w:val="16"/>
                <w:szCs w:val="16"/>
              </w:rPr>
              <w:t xml:space="preserve">100 ~1000  </w:t>
            </w:r>
            <w:r>
              <w:rPr>
                <w:sz w:val="16"/>
                <w:szCs w:val="16"/>
              </w:rPr>
              <w:t>nmol/mol</w:t>
            </w:r>
            <w:r>
              <w:rPr>
                <w:rFonts w:hint="eastAsia"/>
                <w:sz w:val="16"/>
                <w:szCs w:val="16"/>
              </w:rPr>
              <w:t>）</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6"/>
                <w:szCs w:val="16"/>
              </w:rPr>
            </w:pPr>
            <w:r>
              <w:rPr>
                <w:sz w:val="16"/>
                <w:szCs w:val="16"/>
              </w:rPr>
              <w:t>±10%</w:t>
            </w:r>
          </w:p>
          <w:p w:rsidR="002210DD" w:rsidRDefault="00A205B8">
            <w:pPr>
              <w:pStyle w:val="a8"/>
              <w:tabs>
                <w:tab w:val="left" w:pos="420"/>
              </w:tabs>
              <w:rPr>
                <w:sz w:val="18"/>
                <w:szCs w:val="18"/>
              </w:rPr>
            </w:pPr>
            <w:r>
              <w:rPr>
                <w:rFonts w:hint="eastAsia"/>
                <w:sz w:val="16"/>
                <w:szCs w:val="16"/>
              </w:rPr>
              <w:t>（</w:t>
            </w:r>
            <w:r>
              <w:rPr>
                <w:rFonts w:hint="eastAsia"/>
                <w:sz w:val="16"/>
                <w:szCs w:val="16"/>
              </w:rPr>
              <w:t xml:space="preserve">100 ~2000  </w:t>
            </w:r>
            <w:r>
              <w:rPr>
                <w:sz w:val="16"/>
                <w:szCs w:val="16"/>
              </w:rPr>
              <w:t>nmol/mol</w:t>
            </w:r>
            <w:r>
              <w:rPr>
                <w:rFonts w:hint="eastAsia"/>
                <w:sz w:val="16"/>
                <w:szCs w:val="16"/>
              </w:rPr>
              <w:t>）</w:t>
            </w:r>
          </w:p>
        </w:tc>
        <w:tc>
          <w:tcPr>
            <w:tcW w:w="85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6"/>
                <w:szCs w:val="16"/>
              </w:rPr>
            </w:pPr>
            <w:r>
              <w:rPr>
                <w:sz w:val="16"/>
                <w:szCs w:val="16"/>
              </w:rPr>
              <w:t>±10%</w:t>
            </w:r>
          </w:p>
          <w:p w:rsidR="002210DD" w:rsidRDefault="00A205B8">
            <w:pPr>
              <w:pStyle w:val="a8"/>
              <w:tabs>
                <w:tab w:val="left" w:pos="420"/>
              </w:tabs>
              <w:rPr>
                <w:sz w:val="18"/>
                <w:szCs w:val="18"/>
              </w:rPr>
            </w:pPr>
            <w:r>
              <w:rPr>
                <w:rFonts w:hint="eastAsia"/>
                <w:sz w:val="16"/>
                <w:szCs w:val="16"/>
              </w:rPr>
              <w:t>（</w:t>
            </w:r>
            <w:r>
              <w:rPr>
                <w:rFonts w:hint="eastAsia"/>
                <w:sz w:val="16"/>
                <w:szCs w:val="16"/>
              </w:rPr>
              <w:t xml:space="preserve">100 ~500  </w:t>
            </w:r>
            <w:r>
              <w:rPr>
                <w:sz w:val="16"/>
                <w:szCs w:val="16"/>
              </w:rPr>
              <w:t>nmol/mol</w:t>
            </w:r>
            <w:r>
              <w:rPr>
                <w:rFonts w:hint="eastAsia"/>
                <w:sz w:val="16"/>
                <w:szCs w:val="16"/>
              </w:rPr>
              <w:t>）</w:t>
            </w:r>
          </w:p>
        </w:tc>
        <w:tc>
          <w:tcPr>
            <w:tcW w:w="85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6"/>
                <w:szCs w:val="16"/>
              </w:rPr>
            </w:pPr>
            <w:r>
              <w:rPr>
                <w:sz w:val="16"/>
                <w:szCs w:val="16"/>
              </w:rPr>
              <w:t>±10%</w:t>
            </w:r>
          </w:p>
          <w:p w:rsidR="002210DD" w:rsidRDefault="00A205B8">
            <w:pPr>
              <w:pStyle w:val="a8"/>
              <w:tabs>
                <w:tab w:val="left" w:pos="420"/>
              </w:tabs>
              <w:rPr>
                <w:sz w:val="18"/>
                <w:szCs w:val="18"/>
              </w:rPr>
            </w:pPr>
            <w:r>
              <w:rPr>
                <w:rFonts w:hint="eastAsia"/>
                <w:sz w:val="16"/>
                <w:szCs w:val="16"/>
              </w:rPr>
              <w:t>（</w:t>
            </w:r>
            <w:r>
              <w:rPr>
                <w:rFonts w:hint="eastAsia"/>
                <w:sz w:val="16"/>
                <w:szCs w:val="16"/>
              </w:rPr>
              <w:t xml:space="preserve"> </w:t>
            </w:r>
            <w:r>
              <w:rPr>
                <w:sz w:val="16"/>
                <w:szCs w:val="16"/>
              </w:rPr>
              <w:t>10</w:t>
            </w:r>
            <w:r>
              <w:rPr>
                <w:rFonts w:hint="eastAsia"/>
                <w:sz w:val="16"/>
                <w:szCs w:val="16"/>
              </w:rPr>
              <w:t>~</w:t>
            </w:r>
            <w:r>
              <w:rPr>
                <w:sz w:val="16"/>
                <w:szCs w:val="16"/>
              </w:rPr>
              <w:t>50</w:t>
            </w:r>
            <w:r>
              <w:rPr>
                <w:rFonts w:hint="eastAsia"/>
                <w:sz w:val="16"/>
                <w:szCs w:val="16"/>
              </w:rPr>
              <w:t xml:space="preserve">  </w:t>
            </w:r>
            <w:r>
              <w:rPr>
                <w:sz w:val="18"/>
                <w:szCs w:val="18"/>
              </w:rPr>
              <w:t>μ</w:t>
            </w:r>
            <w:r>
              <w:rPr>
                <w:sz w:val="16"/>
                <w:szCs w:val="16"/>
              </w:rPr>
              <w:t>mol/mol</w:t>
            </w:r>
            <w:r>
              <w:rPr>
                <w:rFonts w:hint="eastAsia"/>
                <w:sz w:val="16"/>
                <w:szCs w:val="16"/>
              </w:rPr>
              <w:t>）</w:t>
            </w:r>
          </w:p>
        </w:tc>
      </w:tr>
      <w:tr w:rsidR="002210DD">
        <w:trPr>
          <w:trHeight w:val="340"/>
        </w:trPr>
        <w:tc>
          <w:tcPr>
            <w:tcW w:w="745"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数据捕获率</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sz w:val="18"/>
                <w:szCs w:val="18"/>
              </w:rPr>
              <w:t>≥90%</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tabs>
                <w:tab w:val="left" w:pos="420"/>
              </w:tabs>
              <w:ind w:firstLine="360"/>
              <w:rPr>
                <w:sz w:val="18"/>
                <w:szCs w:val="18"/>
              </w:rPr>
            </w:pPr>
            <w:r>
              <w:rPr>
                <w:sz w:val="18"/>
                <w:szCs w:val="18"/>
              </w:rPr>
              <w:t>≥90%</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tabs>
                <w:tab w:val="left" w:pos="420"/>
              </w:tabs>
              <w:ind w:firstLine="360"/>
              <w:rPr>
                <w:sz w:val="18"/>
                <w:szCs w:val="18"/>
              </w:rPr>
            </w:pPr>
            <w:r>
              <w:rPr>
                <w:sz w:val="18"/>
                <w:szCs w:val="18"/>
              </w:rPr>
              <w:t>≥90%</w:t>
            </w:r>
          </w:p>
        </w:tc>
        <w:tc>
          <w:tcPr>
            <w:tcW w:w="85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tabs>
                <w:tab w:val="left" w:pos="420"/>
              </w:tabs>
              <w:ind w:firstLine="360"/>
              <w:rPr>
                <w:sz w:val="18"/>
                <w:szCs w:val="18"/>
              </w:rPr>
            </w:pPr>
            <w:r>
              <w:rPr>
                <w:sz w:val="18"/>
                <w:szCs w:val="18"/>
              </w:rPr>
              <w:t>≥90%</w:t>
            </w:r>
          </w:p>
        </w:tc>
        <w:tc>
          <w:tcPr>
            <w:tcW w:w="85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tabs>
                <w:tab w:val="left" w:pos="420"/>
              </w:tabs>
              <w:ind w:firstLine="360"/>
              <w:rPr>
                <w:sz w:val="18"/>
                <w:szCs w:val="18"/>
              </w:rPr>
            </w:pPr>
            <w:r>
              <w:rPr>
                <w:sz w:val="18"/>
                <w:szCs w:val="18"/>
              </w:rPr>
              <w:t>≥90%</w:t>
            </w:r>
          </w:p>
        </w:tc>
      </w:tr>
      <w:tr w:rsidR="002210DD">
        <w:trPr>
          <w:trHeight w:val="340"/>
        </w:trPr>
        <w:tc>
          <w:tcPr>
            <w:tcW w:w="745"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rFonts w:hint="eastAsia"/>
                <w:sz w:val="18"/>
                <w:szCs w:val="18"/>
              </w:rPr>
              <w:t>流量测量误差</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pStyle w:val="a8"/>
              <w:tabs>
                <w:tab w:val="left" w:pos="420"/>
              </w:tabs>
              <w:rPr>
                <w:sz w:val="18"/>
                <w:szCs w:val="18"/>
              </w:rPr>
            </w:pPr>
            <w:r>
              <w:rPr>
                <w:rFonts w:hint="eastAsia"/>
                <w:sz w:val="18"/>
                <w:szCs w:val="18"/>
              </w:rPr>
              <w:t>≤</w:t>
            </w:r>
            <w:r>
              <w:rPr>
                <w:rFonts w:hint="eastAsia"/>
                <w:sz w:val="18"/>
                <w:szCs w:val="18"/>
              </w:rPr>
              <w:t>10%</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tabs>
                <w:tab w:val="left" w:pos="420"/>
              </w:tabs>
              <w:ind w:firstLine="360"/>
              <w:rPr>
                <w:sz w:val="18"/>
                <w:szCs w:val="18"/>
              </w:rPr>
            </w:pPr>
            <w:r>
              <w:rPr>
                <w:rFonts w:hint="eastAsia"/>
                <w:sz w:val="18"/>
                <w:szCs w:val="18"/>
              </w:rPr>
              <w:t>≤</w:t>
            </w:r>
            <w:r>
              <w:rPr>
                <w:rFonts w:hint="eastAsia"/>
                <w:sz w:val="18"/>
                <w:szCs w:val="18"/>
              </w:rPr>
              <w:t>10%</w:t>
            </w:r>
          </w:p>
        </w:tc>
        <w:tc>
          <w:tcPr>
            <w:tcW w:w="85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tabs>
                <w:tab w:val="left" w:pos="420"/>
              </w:tabs>
              <w:ind w:firstLine="360"/>
              <w:rPr>
                <w:sz w:val="18"/>
                <w:szCs w:val="18"/>
              </w:rPr>
            </w:pPr>
            <w:r>
              <w:rPr>
                <w:rFonts w:hint="eastAsia"/>
                <w:sz w:val="18"/>
                <w:szCs w:val="18"/>
              </w:rPr>
              <w:t>≤</w:t>
            </w:r>
            <w:r>
              <w:rPr>
                <w:rFonts w:hint="eastAsia"/>
                <w:sz w:val="18"/>
                <w:szCs w:val="18"/>
              </w:rPr>
              <w:t>10%</w:t>
            </w:r>
          </w:p>
        </w:tc>
        <w:tc>
          <w:tcPr>
            <w:tcW w:w="851"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tabs>
                <w:tab w:val="left" w:pos="420"/>
              </w:tabs>
              <w:ind w:firstLine="360"/>
              <w:rPr>
                <w:sz w:val="18"/>
                <w:szCs w:val="18"/>
              </w:rPr>
            </w:pPr>
            <w:r>
              <w:rPr>
                <w:rFonts w:hint="eastAsia"/>
                <w:sz w:val="18"/>
                <w:szCs w:val="18"/>
              </w:rPr>
              <w:t>≤</w:t>
            </w:r>
            <w:r>
              <w:rPr>
                <w:rFonts w:hint="eastAsia"/>
                <w:sz w:val="18"/>
                <w:szCs w:val="18"/>
              </w:rPr>
              <w:t>10%</w:t>
            </w:r>
          </w:p>
        </w:tc>
        <w:tc>
          <w:tcPr>
            <w:tcW w:w="85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tabs>
                <w:tab w:val="left" w:pos="420"/>
              </w:tabs>
              <w:ind w:firstLine="360"/>
              <w:rPr>
                <w:sz w:val="18"/>
                <w:szCs w:val="18"/>
              </w:rPr>
            </w:pPr>
            <w:r>
              <w:rPr>
                <w:rFonts w:hint="eastAsia"/>
                <w:sz w:val="18"/>
                <w:szCs w:val="18"/>
              </w:rPr>
              <w:t>≤</w:t>
            </w:r>
            <w:r>
              <w:rPr>
                <w:rFonts w:hint="eastAsia"/>
                <w:sz w:val="18"/>
                <w:szCs w:val="18"/>
              </w:rPr>
              <w:t>10%</w:t>
            </w:r>
          </w:p>
        </w:tc>
      </w:tr>
    </w:tbl>
    <w:p w:rsidR="002210DD" w:rsidRDefault="00A205B8">
      <w:pPr>
        <w:pStyle w:val="3"/>
      </w:pPr>
      <w:r>
        <w:t>测量范围</w:t>
      </w:r>
    </w:p>
    <w:p w:rsidR="002210DD" w:rsidRDefault="00A205B8">
      <w:pPr>
        <w:tabs>
          <w:tab w:val="left" w:pos="420"/>
        </w:tabs>
        <w:ind w:firstLine="480"/>
      </w:pPr>
      <w:r>
        <w:t>SO</w:t>
      </w:r>
      <w:r>
        <w:rPr>
          <w:vertAlign w:val="subscript"/>
        </w:rPr>
        <w:t>2</w:t>
      </w:r>
      <w:r>
        <w:t>、</w:t>
      </w:r>
      <w:r>
        <w:t>O</w:t>
      </w:r>
      <w:r>
        <w:rPr>
          <w:vertAlign w:val="subscript"/>
        </w:rPr>
        <w:t>3</w:t>
      </w:r>
      <w:r>
        <w:t>的浓度测量范围：（</w:t>
      </w:r>
      <w:r>
        <w:t>0~500</w:t>
      </w:r>
      <w:r>
        <w:t>）</w:t>
      </w:r>
      <w:r>
        <w:t>nmol/mol</w:t>
      </w:r>
      <w:r>
        <w:t>，最小显示单位</w:t>
      </w:r>
      <w:r>
        <w:t>0.1 nmol/mol</w:t>
      </w:r>
      <w:r>
        <w:t>；</w:t>
      </w:r>
    </w:p>
    <w:p w:rsidR="002210DD" w:rsidRDefault="00A205B8">
      <w:pPr>
        <w:tabs>
          <w:tab w:val="left" w:pos="420"/>
        </w:tabs>
        <w:ind w:firstLine="480"/>
      </w:pPr>
      <w:r>
        <w:t>NO</w:t>
      </w:r>
      <w:r>
        <w:rPr>
          <w:vertAlign w:val="subscript"/>
        </w:rPr>
        <w:t>2</w:t>
      </w:r>
      <w:r>
        <w:t>的浓度测量范围：（</w:t>
      </w:r>
      <w:r>
        <w:t>0~1000</w:t>
      </w:r>
      <w:r>
        <w:t>）</w:t>
      </w:r>
      <w:r>
        <w:t>nmol/mol</w:t>
      </w:r>
      <w:r>
        <w:t>，最小显示单位</w:t>
      </w:r>
      <w:r>
        <w:t>0.1 nmol/mol</w:t>
      </w:r>
      <w:r>
        <w:t>；</w:t>
      </w:r>
    </w:p>
    <w:p w:rsidR="002210DD" w:rsidRDefault="00A205B8">
      <w:pPr>
        <w:tabs>
          <w:tab w:val="left" w:pos="420"/>
        </w:tabs>
        <w:ind w:firstLine="480"/>
      </w:pPr>
      <w:r>
        <w:t>NO</w:t>
      </w:r>
      <w:r>
        <w:t>的浓度测量范围：（</w:t>
      </w:r>
      <w:r>
        <w:t>0~2000</w:t>
      </w:r>
      <w:r>
        <w:t>）</w:t>
      </w:r>
      <w:r>
        <w:t>nmol/mol</w:t>
      </w:r>
      <w:r>
        <w:t>，最小显示单位</w:t>
      </w:r>
      <w:r>
        <w:t>0.1 nmol/mol</w:t>
      </w:r>
      <w:r>
        <w:t>；</w:t>
      </w:r>
    </w:p>
    <w:p w:rsidR="002210DD" w:rsidRDefault="00A205B8">
      <w:pPr>
        <w:tabs>
          <w:tab w:val="left" w:pos="420"/>
        </w:tabs>
        <w:ind w:firstLine="480"/>
      </w:pPr>
      <w:r>
        <w:t>CO</w:t>
      </w:r>
      <w:r>
        <w:t>的浓度测量范围：（</w:t>
      </w:r>
      <w:r>
        <w:t>0~50</w:t>
      </w:r>
      <w:r>
        <w:t>）</w:t>
      </w:r>
      <w:r>
        <w:t>μmol/mol</w:t>
      </w:r>
      <w:r>
        <w:t>，最小显示单位</w:t>
      </w:r>
      <w:r>
        <w:t>0.1 μmol/mol</w:t>
      </w:r>
      <w:r>
        <w:t>。</w:t>
      </w:r>
    </w:p>
    <w:p w:rsidR="002210DD" w:rsidRDefault="00A205B8">
      <w:pPr>
        <w:pStyle w:val="a7"/>
        <w:spacing w:before="156"/>
      </w:pPr>
      <w:r>
        <w:t>表</w:t>
      </w:r>
      <w:r>
        <w:t xml:space="preserve">5.5-2  </w:t>
      </w:r>
      <w:r>
        <w:t>测量范围对比</w:t>
      </w:r>
    </w:p>
    <w:tbl>
      <w:tblPr>
        <w:tblW w:w="4998" w:type="pct"/>
        <w:tblCellMar>
          <w:left w:w="0" w:type="dxa"/>
          <w:right w:w="0" w:type="dxa"/>
        </w:tblCellMar>
        <w:tblLook w:val="04A0" w:firstRow="1" w:lastRow="0" w:firstColumn="1" w:lastColumn="0" w:noHBand="0" w:noVBand="1"/>
      </w:tblPr>
      <w:tblGrid>
        <w:gridCol w:w="2147"/>
        <w:gridCol w:w="1241"/>
        <w:gridCol w:w="1242"/>
        <w:gridCol w:w="1242"/>
        <w:gridCol w:w="1242"/>
        <w:gridCol w:w="1179"/>
      </w:tblGrid>
      <w:tr w:rsidR="002210DD">
        <w:trPr>
          <w:trHeight w:val="340"/>
          <w:tblHeader/>
        </w:trPr>
        <w:tc>
          <w:tcPr>
            <w:tcW w:w="129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规范名称</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SO</w:t>
            </w:r>
            <w:r>
              <w:rPr>
                <w:b/>
                <w:bCs/>
                <w:sz w:val="21"/>
                <w:vertAlign w:val="subscript"/>
              </w:rPr>
              <w:t>2</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NO</w:t>
            </w:r>
            <w:r>
              <w:rPr>
                <w:b/>
                <w:bCs/>
                <w:sz w:val="21"/>
                <w:vertAlign w:val="subscript"/>
              </w:rPr>
              <w:t>2</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NO</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O</w:t>
            </w:r>
            <w:r>
              <w:rPr>
                <w:b/>
                <w:bCs/>
                <w:sz w:val="21"/>
                <w:vertAlign w:val="subscript"/>
              </w:rPr>
              <w:t>3</w:t>
            </w:r>
          </w:p>
        </w:tc>
        <w:tc>
          <w:tcPr>
            <w:tcW w:w="71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CO</w:t>
            </w:r>
          </w:p>
        </w:tc>
      </w:tr>
      <w:tr w:rsidR="002210DD">
        <w:trPr>
          <w:trHeight w:val="340"/>
        </w:trPr>
        <w:tc>
          <w:tcPr>
            <w:tcW w:w="129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国标</w:t>
            </w:r>
            <w:r>
              <w:rPr>
                <w:sz w:val="21"/>
              </w:rPr>
              <w:t>HJ654</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0~500 ppb</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0~500 ppb</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0~500 ppb</w:t>
            </w:r>
          </w:p>
        </w:tc>
        <w:tc>
          <w:tcPr>
            <w:tcW w:w="71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0~50 ppm</w:t>
            </w:r>
          </w:p>
        </w:tc>
      </w:tr>
      <w:tr w:rsidR="002210DD">
        <w:trPr>
          <w:trHeight w:val="340"/>
        </w:trPr>
        <w:tc>
          <w:tcPr>
            <w:tcW w:w="129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地标</w:t>
            </w:r>
            <w:r>
              <w:rPr>
                <w:sz w:val="21"/>
              </w:rPr>
              <w:t>DB13/T2544</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0~500 ppb</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0~500 ppb</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0~500 ppb</w:t>
            </w:r>
          </w:p>
        </w:tc>
        <w:tc>
          <w:tcPr>
            <w:tcW w:w="71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0~50 ppm</w:t>
            </w:r>
          </w:p>
        </w:tc>
      </w:tr>
      <w:tr w:rsidR="002210DD">
        <w:trPr>
          <w:trHeight w:val="340"/>
        </w:trPr>
        <w:tc>
          <w:tcPr>
            <w:tcW w:w="129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rFonts w:hint="eastAsia"/>
                <w:sz w:val="21"/>
              </w:rPr>
              <w:t>比对测试结果</w:t>
            </w:r>
          </w:p>
        </w:tc>
        <w:tc>
          <w:tcPr>
            <w:tcW w:w="748"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48"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48"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48"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10"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r>
      <w:tr w:rsidR="002210DD">
        <w:trPr>
          <w:trHeight w:val="340"/>
        </w:trPr>
        <w:tc>
          <w:tcPr>
            <w:tcW w:w="129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本规范</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0~500 ppb</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0~1000 ppb</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0~2000 ppb</w:t>
            </w:r>
          </w:p>
        </w:tc>
        <w:tc>
          <w:tcPr>
            <w:tcW w:w="74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0~500 ppb</w:t>
            </w:r>
          </w:p>
        </w:tc>
        <w:tc>
          <w:tcPr>
            <w:tcW w:w="71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0~50 ppm</w:t>
            </w:r>
          </w:p>
        </w:tc>
      </w:tr>
    </w:tbl>
    <w:p w:rsidR="002210DD" w:rsidRDefault="002210DD">
      <w:pPr>
        <w:ind w:firstLine="480"/>
      </w:pPr>
    </w:p>
    <w:p w:rsidR="002210DD" w:rsidRDefault="00A205B8">
      <w:pPr>
        <w:ind w:firstLine="480"/>
      </w:pPr>
      <w:r>
        <w:rPr>
          <w:szCs w:val="24"/>
        </w:rPr>
        <w:t>SO</w:t>
      </w:r>
      <w:r>
        <w:rPr>
          <w:szCs w:val="24"/>
          <w:vertAlign w:val="subscript"/>
        </w:rPr>
        <w:t>2</w:t>
      </w:r>
      <w:r>
        <w:rPr>
          <w:szCs w:val="24"/>
        </w:rPr>
        <w:t>、</w:t>
      </w:r>
      <w:r>
        <w:rPr>
          <w:szCs w:val="24"/>
        </w:rPr>
        <w:t>O</w:t>
      </w:r>
      <w:r>
        <w:rPr>
          <w:szCs w:val="24"/>
          <w:vertAlign w:val="subscript"/>
        </w:rPr>
        <w:t>3</w:t>
      </w:r>
      <w:r>
        <w:rPr>
          <w:szCs w:val="24"/>
        </w:rPr>
        <w:t>、</w:t>
      </w:r>
      <w:r>
        <w:rPr>
          <w:szCs w:val="24"/>
        </w:rPr>
        <w:t>CO</w:t>
      </w:r>
      <w:r>
        <w:rPr>
          <w:szCs w:val="24"/>
        </w:rPr>
        <w:t>的浓度测量范围与国内其他标准保持一致；考虑到现阶段长三</w:t>
      </w:r>
      <w:r>
        <w:rPr>
          <w:szCs w:val="24"/>
        </w:rPr>
        <w:lastRenderedPageBreak/>
        <w:t>角区域大气中</w:t>
      </w:r>
      <w:r>
        <w:rPr>
          <w:szCs w:val="24"/>
        </w:rPr>
        <w:t>NO</w:t>
      </w:r>
      <w:r>
        <w:rPr>
          <w:szCs w:val="24"/>
          <w:vertAlign w:val="subscript"/>
        </w:rPr>
        <w:t>2</w:t>
      </w:r>
      <w:r>
        <w:rPr>
          <w:szCs w:val="24"/>
        </w:rPr>
        <w:t>、</w:t>
      </w:r>
      <w:r>
        <w:rPr>
          <w:szCs w:val="24"/>
        </w:rPr>
        <w:t>NO</w:t>
      </w:r>
      <w:r>
        <w:rPr>
          <w:szCs w:val="24"/>
        </w:rPr>
        <w:t>的浓度相对与国内其他城市较高，常常超出国标</w:t>
      </w:r>
      <w:r>
        <w:t>HJ654-2013</w:t>
      </w:r>
      <w:r>
        <w:t>规定的测量范围，为了适应长三角区域污染物实际浓度状况，本规范对</w:t>
      </w:r>
      <w:r>
        <w:t>NO</w:t>
      </w:r>
      <w:r>
        <w:rPr>
          <w:vertAlign w:val="subscript"/>
        </w:rPr>
        <w:t>2</w:t>
      </w:r>
      <w:r>
        <w:t>、</w:t>
      </w:r>
      <w:r>
        <w:t>NO</w:t>
      </w:r>
      <w:r>
        <w:t>的</w:t>
      </w:r>
      <w:r>
        <w:rPr>
          <w:szCs w:val="24"/>
        </w:rPr>
        <w:t>浓度测量范围作了相应的调整。</w:t>
      </w:r>
    </w:p>
    <w:p w:rsidR="002210DD" w:rsidRDefault="00A205B8">
      <w:pPr>
        <w:pStyle w:val="3"/>
      </w:pPr>
      <w:r>
        <w:t>零点噪声</w:t>
      </w:r>
    </w:p>
    <w:p w:rsidR="002210DD" w:rsidRDefault="00A205B8">
      <w:pPr>
        <w:tabs>
          <w:tab w:val="left" w:pos="420"/>
        </w:tabs>
        <w:ind w:firstLine="480"/>
      </w:pPr>
      <w:r>
        <w:t>SO</w:t>
      </w:r>
      <w:r>
        <w:rPr>
          <w:vertAlign w:val="subscript"/>
        </w:rPr>
        <w:t>2</w:t>
      </w:r>
      <w:r>
        <w:t>、</w:t>
      </w:r>
      <w:r>
        <w:t>NO</w:t>
      </w:r>
      <w:r>
        <w:rPr>
          <w:vertAlign w:val="subscript"/>
        </w:rPr>
        <w:t>2</w:t>
      </w:r>
      <w:r>
        <w:t>、</w:t>
      </w:r>
      <w:r>
        <w:t>NO</w:t>
      </w:r>
      <w:r>
        <w:t>、</w:t>
      </w:r>
      <w:r>
        <w:t>O</w:t>
      </w:r>
      <w:r>
        <w:rPr>
          <w:vertAlign w:val="subscript"/>
        </w:rPr>
        <w:t>3</w:t>
      </w:r>
      <w:r>
        <w:t>的零点噪声：</w:t>
      </w:r>
      <w:r>
        <w:t>≤2.5 nmol/mol</w:t>
      </w:r>
      <w:r>
        <w:t>；</w:t>
      </w:r>
    </w:p>
    <w:p w:rsidR="002210DD" w:rsidRDefault="00A205B8">
      <w:pPr>
        <w:tabs>
          <w:tab w:val="left" w:pos="420"/>
        </w:tabs>
        <w:ind w:firstLine="480"/>
      </w:pPr>
      <w:r>
        <w:t>CO</w:t>
      </w:r>
      <w:r>
        <w:t>的零点噪声：</w:t>
      </w:r>
      <w:r>
        <w:t>≤0.05 μmol/mol</w:t>
      </w:r>
      <w:r>
        <w:t>。</w:t>
      </w:r>
    </w:p>
    <w:p w:rsidR="002210DD" w:rsidRDefault="00A205B8">
      <w:pPr>
        <w:ind w:firstLineChars="0" w:firstLine="0"/>
        <w:jc w:val="center"/>
      </w:pPr>
      <w:r>
        <w:rPr>
          <w:noProof/>
        </w:rPr>
        <w:drawing>
          <wp:inline distT="0" distB="0" distL="114300" distR="114300">
            <wp:extent cx="2592070" cy="1630045"/>
            <wp:effectExtent l="0" t="0" r="11430" b="8255"/>
            <wp:docPr id="2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9"/>
                    <pic:cNvPicPr>
                      <a:picLocks noChangeAspect="1"/>
                    </pic:cNvPicPr>
                  </pic:nvPicPr>
                  <pic:blipFill>
                    <a:blip r:embed="rId8"/>
                    <a:stretch>
                      <a:fillRect/>
                    </a:stretch>
                  </pic:blipFill>
                  <pic:spPr>
                    <a:xfrm>
                      <a:off x="0" y="0"/>
                      <a:ext cx="2592070" cy="1630045"/>
                    </a:xfrm>
                    <a:prstGeom prst="rect">
                      <a:avLst/>
                    </a:prstGeom>
                    <a:noFill/>
                    <a:ln>
                      <a:noFill/>
                    </a:ln>
                  </pic:spPr>
                </pic:pic>
              </a:graphicData>
            </a:graphic>
          </wp:inline>
        </w:drawing>
      </w:r>
      <w:r>
        <w:rPr>
          <w:noProof/>
        </w:rPr>
        <w:drawing>
          <wp:inline distT="0" distB="0" distL="114300" distR="114300">
            <wp:extent cx="2592070" cy="1628140"/>
            <wp:effectExtent l="0" t="0" r="11430" b="10160"/>
            <wp:docPr id="2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0"/>
                    <pic:cNvPicPr>
                      <a:picLocks noChangeAspect="1"/>
                    </pic:cNvPicPr>
                  </pic:nvPicPr>
                  <pic:blipFill>
                    <a:blip r:embed="rId9"/>
                    <a:stretch>
                      <a:fillRect/>
                    </a:stretch>
                  </pic:blipFill>
                  <pic:spPr>
                    <a:xfrm>
                      <a:off x="0" y="0"/>
                      <a:ext cx="2592070" cy="1628140"/>
                    </a:xfrm>
                    <a:prstGeom prst="rect">
                      <a:avLst/>
                    </a:prstGeom>
                    <a:noFill/>
                    <a:ln>
                      <a:noFill/>
                    </a:ln>
                  </pic:spPr>
                </pic:pic>
              </a:graphicData>
            </a:graphic>
          </wp:inline>
        </w:drawing>
      </w:r>
    </w:p>
    <w:p w:rsidR="002210DD" w:rsidRDefault="00A205B8">
      <w:pPr>
        <w:ind w:firstLineChars="0" w:firstLine="0"/>
        <w:jc w:val="center"/>
      </w:pPr>
      <w:r>
        <w:rPr>
          <w:noProof/>
        </w:rPr>
        <w:drawing>
          <wp:inline distT="0" distB="0" distL="114300" distR="114300">
            <wp:extent cx="2592070" cy="1631950"/>
            <wp:effectExtent l="0" t="0" r="11430" b="6350"/>
            <wp:docPr id="2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1"/>
                    <pic:cNvPicPr>
                      <a:picLocks noChangeAspect="1"/>
                    </pic:cNvPicPr>
                  </pic:nvPicPr>
                  <pic:blipFill>
                    <a:blip r:embed="rId10"/>
                    <a:stretch>
                      <a:fillRect/>
                    </a:stretch>
                  </pic:blipFill>
                  <pic:spPr>
                    <a:xfrm>
                      <a:off x="0" y="0"/>
                      <a:ext cx="2592070" cy="1631950"/>
                    </a:xfrm>
                    <a:prstGeom prst="rect">
                      <a:avLst/>
                    </a:prstGeom>
                    <a:noFill/>
                    <a:ln>
                      <a:noFill/>
                    </a:ln>
                  </pic:spPr>
                </pic:pic>
              </a:graphicData>
            </a:graphic>
          </wp:inline>
        </w:drawing>
      </w:r>
      <w:r>
        <w:rPr>
          <w:noProof/>
        </w:rPr>
        <w:drawing>
          <wp:inline distT="0" distB="0" distL="114300" distR="114300">
            <wp:extent cx="2592070" cy="1628140"/>
            <wp:effectExtent l="0" t="0" r="11430" b="10160"/>
            <wp:docPr id="2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2"/>
                    <pic:cNvPicPr>
                      <a:picLocks noChangeAspect="1"/>
                    </pic:cNvPicPr>
                  </pic:nvPicPr>
                  <pic:blipFill>
                    <a:blip r:embed="rId11"/>
                    <a:stretch>
                      <a:fillRect/>
                    </a:stretch>
                  </pic:blipFill>
                  <pic:spPr>
                    <a:xfrm>
                      <a:off x="0" y="0"/>
                      <a:ext cx="2592070" cy="1628140"/>
                    </a:xfrm>
                    <a:prstGeom prst="rect">
                      <a:avLst/>
                    </a:prstGeom>
                    <a:noFill/>
                    <a:ln>
                      <a:noFill/>
                    </a:ln>
                  </pic:spPr>
                </pic:pic>
              </a:graphicData>
            </a:graphic>
          </wp:inline>
        </w:drawing>
      </w:r>
    </w:p>
    <w:p w:rsidR="002210DD" w:rsidRDefault="00A205B8">
      <w:pPr>
        <w:spacing w:afterLines="50" w:after="156"/>
        <w:ind w:firstLineChars="0" w:firstLine="0"/>
        <w:jc w:val="center"/>
        <w:rPr>
          <w:b/>
          <w:sz w:val="21"/>
        </w:rPr>
      </w:pPr>
      <w:r>
        <w:rPr>
          <w:b/>
          <w:sz w:val="21"/>
        </w:rPr>
        <w:t>图</w:t>
      </w:r>
      <w:r>
        <w:rPr>
          <w:b/>
          <w:sz w:val="21"/>
        </w:rPr>
        <w:t xml:space="preserve">5.5-1  </w:t>
      </w:r>
      <w:r>
        <w:rPr>
          <w:b/>
          <w:sz w:val="21"/>
        </w:rPr>
        <w:t>零点噪声</w:t>
      </w:r>
      <w:r>
        <w:rPr>
          <w:rFonts w:hint="eastAsia"/>
          <w:b/>
          <w:sz w:val="21"/>
        </w:rPr>
        <w:t>比对测试结果</w:t>
      </w:r>
    </w:p>
    <w:p w:rsidR="002210DD" w:rsidRDefault="00A205B8">
      <w:pPr>
        <w:ind w:firstLine="480"/>
      </w:pPr>
      <w:r>
        <w:t>统计国内</w:t>
      </w:r>
      <w:r>
        <w:t>10</w:t>
      </w:r>
      <w:r>
        <w:t>家生产厂家的监测单元，综合考虑大多数设备的情况，拟定出传感器法自动监测系统设备</w:t>
      </w:r>
      <w:r>
        <w:t>SO</w:t>
      </w:r>
      <w:r>
        <w:rPr>
          <w:vertAlign w:val="subscript"/>
        </w:rPr>
        <w:t>2</w:t>
      </w:r>
      <w:r>
        <w:t>、</w:t>
      </w:r>
      <w:r>
        <w:t>NO</w:t>
      </w:r>
      <w:r>
        <w:rPr>
          <w:vertAlign w:val="subscript"/>
        </w:rPr>
        <w:t>2</w:t>
      </w:r>
      <w:r>
        <w:t>、</w:t>
      </w:r>
      <w:r>
        <w:t>NO</w:t>
      </w:r>
      <w:r>
        <w:t>、</w:t>
      </w:r>
      <w:r>
        <w:t>O</w:t>
      </w:r>
      <w:r>
        <w:rPr>
          <w:vertAlign w:val="subscript"/>
        </w:rPr>
        <w:t>3</w:t>
      </w:r>
      <w:r>
        <w:t>的零点噪声不大于</w:t>
      </w:r>
      <w:r>
        <w:t>2.5 ppb</w:t>
      </w:r>
      <w:r>
        <w:t>，</w:t>
      </w:r>
      <w:r>
        <w:t>CO</w:t>
      </w:r>
      <w:r>
        <w:t>的零点噪声不大于</w:t>
      </w:r>
      <w:r>
        <w:t>0.05 ppb</w:t>
      </w:r>
      <w:r>
        <w:rPr>
          <w:rFonts w:hint="eastAsia"/>
        </w:rPr>
        <w:t>，</w:t>
      </w:r>
      <w:r>
        <w:t>较国标</w:t>
      </w:r>
      <w:r>
        <w:t>HJ654</w:t>
      </w:r>
      <w:r>
        <w:t>更宽松，与地标</w:t>
      </w:r>
      <w:r>
        <w:t>DB13/T2544</w:t>
      </w:r>
      <w:r>
        <w:t>保持一致。</w:t>
      </w:r>
    </w:p>
    <w:p w:rsidR="002210DD" w:rsidRDefault="00A205B8">
      <w:pPr>
        <w:spacing w:beforeLines="50" w:before="156"/>
        <w:ind w:firstLineChars="0" w:firstLine="0"/>
        <w:jc w:val="center"/>
        <w:rPr>
          <w:b/>
          <w:sz w:val="21"/>
        </w:rPr>
      </w:pPr>
      <w:r>
        <w:rPr>
          <w:b/>
          <w:sz w:val="21"/>
        </w:rPr>
        <w:t>表</w:t>
      </w:r>
      <w:r>
        <w:rPr>
          <w:b/>
          <w:sz w:val="21"/>
        </w:rPr>
        <w:t xml:space="preserve">5.5-3  </w:t>
      </w:r>
      <w:r>
        <w:rPr>
          <w:b/>
          <w:sz w:val="21"/>
        </w:rPr>
        <w:t>零点噪声对比</w:t>
      </w:r>
    </w:p>
    <w:tbl>
      <w:tblPr>
        <w:tblW w:w="8685" w:type="dxa"/>
        <w:tblCellMar>
          <w:left w:w="0" w:type="dxa"/>
          <w:right w:w="0" w:type="dxa"/>
        </w:tblCellMar>
        <w:tblLook w:val="04A0" w:firstRow="1" w:lastRow="0" w:firstColumn="1" w:lastColumn="0" w:noHBand="0" w:noVBand="1"/>
      </w:tblPr>
      <w:tblGrid>
        <w:gridCol w:w="2008"/>
        <w:gridCol w:w="1275"/>
        <w:gridCol w:w="1352"/>
        <w:gridCol w:w="1348"/>
        <w:gridCol w:w="1352"/>
        <w:gridCol w:w="1350"/>
      </w:tblGrid>
      <w:tr w:rsidR="002210DD">
        <w:trPr>
          <w:trHeight w:val="340"/>
          <w:tblHeader/>
        </w:trPr>
        <w:tc>
          <w:tcPr>
            <w:tcW w:w="201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规范名称</w:t>
            </w:r>
          </w:p>
        </w:tc>
        <w:tc>
          <w:tcPr>
            <w:tcW w:w="1275"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SO</w:t>
            </w:r>
            <w:r>
              <w:rPr>
                <w:b/>
                <w:bCs/>
                <w:sz w:val="21"/>
                <w:vertAlign w:val="subscript"/>
              </w:rPr>
              <w:t>2</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NO</w:t>
            </w:r>
            <w:r>
              <w:rPr>
                <w:b/>
                <w:bCs/>
                <w:sz w:val="21"/>
                <w:vertAlign w:val="subscript"/>
              </w:rPr>
              <w:t>2</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NO</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O</w:t>
            </w:r>
            <w:r>
              <w:rPr>
                <w:b/>
                <w:bCs/>
                <w:sz w:val="21"/>
                <w:vertAlign w:val="subscript"/>
              </w:rPr>
              <w:t>3</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CO</w:t>
            </w:r>
          </w:p>
        </w:tc>
      </w:tr>
      <w:tr w:rsidR="002210DD">
        <w:trPr>
          <w:trHeight w:val="340"/>
        </w:trPr>
        <w:tc>
          <w:tcPr>
            <w:tcW w:w="201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国标</w:t>
            </w:r>
            <w:r>
              <w:rPr>
                <w:sz w:val="21"/>
              </w:rPr>
              <w:t>HJ654</w:t>
            </w:r>
          </w:p>
        </w:tc>
        <w:tc>
          <w:tcPr>
            <w:tcW w:w="1275"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 ppb</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 ppb</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 ppb</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≤0.25 ppm</w:t>
            </w:r>
          </w:p>
        </w:tc>
      </w:tr>
      <w:tr w:rsidR="002210DD">
        <w:trPr>
          <w:trHeight w:val="340"/>
        </w:trPr>
        <w:tc>
          <w:tcPr>
            <w:tcW w:w="201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地标</w:t>
            </w:r>
            <w:r>
              <w:rPr>
                <w:sz w:val="21"/>
              </w:rPr>
              <w:t>DB13/T2544</w:t>
            </w:r>
          </w:p>
        </w:tc>
        <w:tc>
          <w:tcPr>
            <w:tcW w:w="1275"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≤2.5 ppb</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≤2.5 ppb</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≤2.5 ppb</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≤0.05 ppm</w:t>
            </w:r>
          </w:p>
        </w:tc>
      </w:tr>
      <w:tr w:rsidR="002210DD">
        <w:trPr>
          <w:trHeight w:val="340"/>
        </w:trPr>
        <w:tc>
          <w:tcPr>
            <w:tcW w:w="201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rFonts w:hint="eastAsia"/>
                <w:sz w:val="21"/>
              </w:rPr>
              <w:t>比对测试结果</w:t>
            </w:r>
          </w:p>
        </w:tc>
        <w:tc>
          <w:tcPr>
            <w:tcW w:w="0" w:type="auto"/>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0.00~7.73 ppb</w:t>
            </w:r>
          </w:p>
        </w:tc>
        <w:tc>
          <w:tcPr>
            <w:tcW w:w="0" w:type="auto"/>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0.00~24.27 ppb</w:t>
            </w:r>
          </w:p>
        </w:tc>
        <w:tc>
          <w:tcPr>
            <w:tcW w:w="0" w:type="auto"/>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0" w:type="auto"/>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0.00~46.77 ppb</w:t>
            </w:r>
          </w:p>
        </w:tc>
        <w:tc>
          <w:tcPr>
            <w:tcW w:w="0" w:type="auto"/>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0.00~0.03 ppm</w:t>
            </w:r>
          </w:p>
        </w:tc>
      </w:tr>
      <w:tr w:rsidR="002210DD">
        <w:trPr>
          <w:trHeight w:val="340"/>
        </w:trPr>
        <w:tc>
          <w:tcPr>
            <w:tcW w:w="201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lastRenderedPageBreak/>
              <w:t>本规范</w:t>
            </w:r>
          </w:p>
        </w:tc>
        <w:tc>
          <w:tcPr>
            <w:tcW w:w="1275"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≤2.5 ppb</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≤2.5 ppb</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≤2.5 ppb</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≤2.5 ppb</w:t>
            </w:r>
          </w:p>
        </w:tc>
        <w:tc>
          <w:tcPr>
            <w:tcW w:w="1350"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≤0.05 ppm</w:t>
            </w:r>
          </w:p>
        </w:tc>
      </w:tr>
    </w:tbl>
    <w:p w:rsidR="002210DD" w:rsidRDefault="00A205B8">
      <w:pPr>
        <w:pStyle w:val="3"/>
      </w:pPr>
      <w:r>
        <w:t>最低检出限</w:t>
      </w:r>
    </w:p>
    <w:p w:rsidR="002210DD" w:rsidRDefault="00A205B8">
      <w:pPr>
        <w:tabs>
          <w:tab w:val="left" w:pos="420"/>
        </w:tabs>
        <w:ind w:firstLine="480"/>
      </w:pPr>
      <w:r>
        <w:t>SO</w:t>
      </w:r>
      <w:r>
        <w:rPr>
          <w:vertAlign w:val="subscript"/>
        </w:rPr>
        <w:t>2</w:t>
      </w:r>
      <w:r>
        <w:t>、</w:t>
      </w:r>
      <w:r>
        <w:t>NO</w:t>
      </w:r>
      <w:r>
        <w:rPr>
          <w:vertAlign w:val="subscript"/>
        </w:rPr>
        <w:t>2</w:t>
      </w:r>
      <w:r>
        <w:t>、</w:t>
      </w:r>
      <w:r>
        <w:t>NO</w:t>
      </w:r>
      <w:r>
        <w:t>、</w:t>
      </w:r>
      <w:r>
        <w:t>O</w:t>
      </w:r>
      <w:r>
        <w:rPr>
          <w:vertAlign w:val="subscript"/>
        </w:rPr>
        <w:t>3</w:t>
      </w:r>
      <w:r>
        <w:t>的最低检出限：</w:t>
      </w:r>
      <w:r>
        <w:t>≤5 nmol/mol</w:t>
      </w:r>
      <w:r>
        <w:t>；</w:t>
      </w:r>
    </w:p>
    <w:p w:rsidR="002210DD" w:rsidRDefault="00A205B8">
      <w:pPr>
        <w:tabs>
          <w:tab w:val="left" w:pos="420"/>
        </w:tabs>
        <w:ind w:firstLine="480"/>
      </w:pPr>
      <w:r>
        <w:t>CO</w:t>
      </w:r>
      <w:r>
        <w:t>的最低检出限：</w:t>
      </w:r>
      <w:r>
        <w:t>≤0.1 μmol/mol</w:t>
      </w:r>
      <w:r>
        <w:t>。</w:t>
      </w:r>
    </w:p>
    <w:p w:rsidR="002210DD" w:rsidRDefault="00A205B8">
      <w:pPr>
        <w:spacing w:afterLines="50" w:after="156"/>
        <w:ind w:firstLineChars="0" w:firstLine="0"/>
        <w:jc w:val="center"/>
      </w:pPr>
      <w:r>
        <w:rPr>
          <w:noProof/>
        </w:rPr>
        <w:drawing>
          <wp:inline distT="0" distB="0" distL="114300" distR="114300">
            <wp:extent cx="2592070" cy="1632585"/>
            <wp:effectExtent l="0" t="0" r="11430" b="5715"/>
            <wp:docPr id="2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3"/>
                    <pic:cNvPicPr>
                      <a:picLocks noChangeAspect="1"/>
                    </pic:cNvPicPr>
                  </pic:nvPicPr>
                  <pic:blipFill>
                    <a:blip r:embed="rId12"/>
                    <a:stretch>
                      <a:fillRect/>
                    </a:stretch>
                  </pic:blipFill>
                  <pic:spPr>
                    <a:xfrm>
                      <a:off x="0" y="0"/>
                      <a:ext cx="2592070" cy="1632585"/>
                    </a:xfrm>
                    <a:prstGeom prst="rect">
                      <a:avLst/>
                    </a:prstGeom>
                    <a:noFill/>
                    <a:ln>
                      <a:noFill/>
                    </a:ln>
                  </pic:spPr>
                </pic:pic>
              </a:graphicData>
            </a:graphic>
          </wp:inline>
        </w:drawing>
      </w:r>
      <w:r>
        <w:rPr>
          <w:noProof/>
        </w:rPr>
        <w:drawing>
          <wp:inline distT="0" distB="0" distL="114300" distR="114300">
            <wp:extent cx="2592070" cy="1639570"/>
            <wp:effectExtent l="0" t="0" r="11430" b="11430"/>
            <wp:docPr id="2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4"/>
                    <pic:cNvPicPr>
                      <a:picLocks noChangeAspect="1"/>
                    </pic:cNvPicPr>
                  </pic:nvPicPr>
                  <pic:blipFill>
                    <a:blip r:embed="rId13"/>
                    <a:stretch>
                      <a:fillRect/>
                    </a:stretch>
                  </pic:blipFill>
                  <pic:spPr>
                    <a:xfrm>
                      <a:off x="0" y="0"/>
                      <a:ext cx="2592070" cy="1639570"/>
                    </a:xfrm>
                    <a:prstGeom prst="rect">
                      <a:avLst/>
                    </a:prstGeom>
                    <a:noFill/>
                    <a:ln>
                      <a:noFill/>
                    </a:ln>
                  </pic:spPr>
                </pic:pic>
              </a:graphicData>
            </a:graphic>
          </wp:inline>
        </w:drawing>
      </w:r>
      <w:r>
        <w:rPr>
          <w:noProof/>
        </w:rPr>
        <w:drawing>
          <wp:inline distT="0" distB="0" distL="114300" distR="114300">
            <wp:extent cx="2592070" cy="1632585"/>
            <wp:effectExtent l="0" t="0" r="11430" b="5715"/>
            <wp:docPr id="2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5"/>
                    <pic:cNvPicPr>
                      <a:picLocks noChangeAspect="1"/>
                    </pic:cNvPicPr>
                  </pic:nvPicPr>
                  <pic:blipFill>
                    <a:blip r:embed="rId14"/>
                    <a:stretch>
                      <a:fillRect/>
                    </a:stretch>
                  </pic:blipFill>
                  <pic:spPr>
                    <a:xfrm>
                      <a:off x="0" y="0"/>
                      <a:ext cx="2592070" cy="1632585"/>
                    </a:xfrm>
                    <a:prstGeom prst="rect">
                      <a:avLst/>
                    </a:prstGeom>
                    <a:noFill/>
                    <a:ln>
                      <a:noFill/>
                    </a:ln>
                  </pic:spPr>
                </pic:pic>
              </a:graphicData>
            </a:graphic>
          </wp:inline>
        </w:drawing>
      </w:r>
      <w:r>
        <w:rPr>
          <w:noProof/>
        </w:rPr>
        <w:drawing>
          <wp:inline distT="0" distB="0" distL="114300" distR="114300">
            <wp:extent cx="2592070" cy="1632585"/>
            <wp:effectExtent l="0" t="0" r="11430" b="5715"/>
            <wp:docPr id="3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6"/>
                    <pic:cNvPicPr>
                      <a:picLocks noChangeAspect="1"/>
                    </pic:cNvPicPr>
                  </pic:nvPicPr>
                  <pic:blipFill>
                    <a:blip r:embed="rId15"/>
                    <a:stretch>
                      <a:fillRect/>
                    </a:stretch>
                  </pic:blipFill>
                  <pic:spPr>
                    <a:xfrm>
                      <a:off x="0" y="0"/>
                      <a:ext cx="2592070" cy="1632585"/>
                    </a:xfrm>
                    <a:prstGeom prst="rect">
                      <a:avLst/>
                    </a:prstGeom>
                    <a:noFill/>
                    <a:ln>
                      <a:noFill/>
                    </a:ln>
                  </pic:spPr>
                </pic:pic>
              </a:graphicData>
            </a:graphic>
          </wp:inline>
        </w:drawing>
      </w:r>
    </w:p>
    <w:p w:rsidR="002210DD" w:rsidRDefault="00A205B8">
      <w:pPr>
        <w:spacing w:afterLines="50" w:after="156"/>
        <w:ind w:firstLineChars="0" w:firstLine="0"/>
        <w:jc w:val="center"/>
        <w:rPr>
          <w:b/>
          <w:sz w:val="21"/>
        </w:rPr>
      </w:pPr>
      <w:r>
        <w:rPr>
          <w:b/>
          <w:sz w:val="21"/>
        </w:rPr>
        <w:t>图</w:t>
      </w:r>
      <w:r>
        <w:rPr>
          <w:b/>
          <w:sz w:val="21"/>
        </w:rPr>
        <w:t xml:space="preserve">5.5-2  </w:t>
      </w:r>
      <w:r>
        <w:rPr>
          <w:b/>
          <w:sz w:val="21"/>
        </w:rPr>
        <w:t>最低检出限</w:t>
      </w:r>
      <w:r>
        <w:rPr>
          <w:rFonts w:hint="eastAsia"/>
          <w:b/>
          <w:sz w:val="21"/>
        </w:rPr>
        <w:t>比对测试结果</w:t>
      </w:r>
    </w:p>
    <w:p w:rsidR="002210DD" w:rsidRDefault="00A205B8">
      <w:pPr>
        <w:ind w:firstLine="480"/>
      </w:pPr>
      <w:r>
        <w:t>设备的最低检出限为零点噪声的两倍，本规范要求</w:t>
      </w:r>
      <w:r>
        <w:t>SO</w:t>
      </w:r>
      <w:r>
        <w:rPr>
          <w:vertAlign w:val="subscript"/>
        </w:rPr>
        <w:t>2</w:t>
      </w:r>
      <w:r>
        <w:t>、</w:t>
      </w:r>
      <w:r>
        <w:t>NO</w:t>
      </w:r>
      <w:r>
        <w:rPr>
          <w:vertAlign w:val="subscript"/>
        </w:rPr>
        <w:t>2</w:t>
      </w:r>
      <w:r>
        <w:t>、</w:t>
      </w:r>
      <w:r>
        <w:t>NO</w:t>
      </w:r>
      <w:r>
        <w:t>、</w:t>
      </w:r>
      <w:r>
        <w:t>O</w:t>
      </w:r>
      <w:r>
        <w:rPr>
          <w:vertAlign w:val="subscript"/>
        </w:rPr>
        <w:t>3</w:t>
      </w:r>
      <w:r>
        <w:t>传感器的最低检出限应不大于</w:t>
      </w:r>
      <w:r>
        <w:t>5 ppb</w:t>
      </w:r>
      <w:r>
        <w:t>，</w:t>
      </w:r>
      <w:r>
        <w:t>CO</w:t>
      </w:r>
      <w:r>
        <w:t>传感器的最低检出限应不大于</w:t>
      </w:r>
      <w:r>
        <w:t>0.1 ppm</w:t>
      </w:r>
      <w:r>
        <w:t>。</w:t>
      </w:r>
    </w:p>
    <w:p w:rsidR="002210DD" w:rsidRDefault="00A205B8">
      <w:pPr>
        <w:spacing w:beforeLines="50" w:before="156"/>
        <w:ind w:firstLineChars="0" w:firstLine="0"/>
        <w:jc w:val="center"/>
        <w:rPr>
          <w:b/>
          <w:sz w:val="21"/>
        </w:rPr>
      </w:pPr>
      <w:r>
        <w:rPr>
          <w:b/>
          <w:sz w:val="21"/>
        </w:rPr>
        <w:t>表</w:t>
      </w:r>
      <w:r>
        <w:rPr>
          <w:b/>
          <w:sz w:val="21"/>
        </w:rPr>
        <w:t xml:space="preserve">5.5-4  </w:t>
      </w:r>
      <w:r>
        <w:rPr>
          <w:b/>
          <w:sz w:val="21"/>
        </w:rPr>
        <w:t>最低检出限对比</w:t>
      </w:r>
    </w:p>
    <w:tbl>
      <w:tblPr>
        <w:tblpPr w:leftFromText="180" w:rightFromText="180" w:vertAnchor="text" w:horzAnchor="page" w:tblpXSpec="center" w:tblpY="76"/>
        <w:tblOverlap w:val="never"/>
        <w:tblW w:w="499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4"/>
        <w:gridCol w:w="1352"/>
        <w:gridCol w:w="1576"/>
        <w:gridCol w:w="972"/>
        <w:gridCol w:w="1352"/>
        <w:gridCol w:w="1305"/>
      </w:tblGrid>
      <w:tr w:rsidR="002210DD">
        <w:trPr>
          <w:trHeight w:val="340"/>
          <w:tblHeader/>
          <w:jc w:val="center"/>
        </w:trPr>
        <w:tc>
          <w:tcPr>
            <w:tcW w:w="1061" w:type="pct"/>
            <w:tcMar>
              <w:top w:w="15" w:type="dxa"/>
              <w:left w:w="15" w:type="dxa"/>
              <w:right w:w="15" w:type="dxa"/>
            </w:tcMar>
            <w:vAlign w:val="center"/>
          </w:tcPr>
          <w:p w:rsidR="002210DD" w:rsidRDefault="00A205B8">
            <w:pPr>
              <w:spacing w:line="240" w:lineRule="auto"/>
              <w:ind w:firstLineChars="0" w:firstLine="0"/>
              <w:jc w:val="center"/>
              <w:rPr>
                <w:sz w:val="21"/>
              </w:rPr>
            </w:pPr>
            <w:r>
              <w:rPr>
                <w:b/>
                <w:bCs/>
                <w:sz w:val="21"/>
              </w:rPr>
              <w:t>规范名称</w:t>
            </w:r>
          </w:p>
        </w:tc>
        <w:tc>
          <w:tcPr>
            <w:tcW w:w="1315" w:type="dxa"/>
            <w:tcMar>
              <w:top w:w="15" w:type="dxa"/>
              <w:left w:w="15" w:type="dxa"/>
              <w:right w:w="15" w:type="dxa"/>
            </w:tcMar>
            <w:vAlign w:val="center"/>
          </w:tcPr>
          <w:p w:rsidR="002210DD" w:rsidRDefault="00A205B8">
            <w:pPr>
              <w:spacing w:line="240" w:lineRule="auto"/>
              <w:ind w:firstLineChars="0" w:firstLine="0"/>
              <w:jc w:val="center"/>
              <w:rPr>
                <w:sz w:val="21"/>
              </w:rPr>
            </w:pPr>
            <w:r>
              <w:rPr>
                <w:b/>
                <w:bCs/>
                <w:sz w:val="21"/>
              </w:rPr>
              <w:t>SO</w:t>
            </w:r>
            <w:r>
              <w:rPr>
                <w:b/>
                <w:bCs/>
                <w:sz w:val="21"/>
                <w:vertAlign w:val="subscript"/>
              </w:rPr>
              <w:t>2</w:t>
            </w:r>
          </w:p>
        </w:tc>
        <w:tc>
          <w:tcPr>
            <w:tcW w:w="1608" w:type="dxa"/>
            <w:tcMar>
              <w:top w:w="15" w:type="dxa"/>
              <w:left w:w="15" w:type="dxa"/>
              <w:right w:w="15" w:type="dxa"/>
            </w:tcMar>
            <w:vAlign w:val="center"/>
          </w:tcPr>
          <w:p w:rsidR="002210DD" w:rsidRDefault="00A205B8">
            <w:pPr>
              <w:spacing w:line="240" w:lineRule="auto"/>
              <w:ind w:firstLineChars="0" w:firstLine="0"/>
              <w:jc w:val="center"/>
              <w:rPr>
                <w:sz w:val="21"/>
              </w:rPr>
            </w:pPr>
            <w:r>
              <w:rPr>
                <w:b/>
                <w:bCs/>
                <w:sz w:val="21"/>
              </w:rPr>
              <w:t>NO</w:t>
            </w:r>
            <w:r>
              <w:rPr>
                <w:b/>
                <w:bCs/>
                <w:sz w:val="21"/>
                <w:vertAlign w:val="subscript"/>
              </w:rPr>
              <w:t>2</w:t>
            </w:r>
          </w:p>
        </w:tc>
        <w:tc>
          <w:tcPr>
            <w:tcW w:w="1000" w:type="dxa"/>
            <w:tcMar>
              <w:top w:w="15" w:type="dxa"/>
              <w:left w:w="15" w:type="dxa"/>
              <w:right w:w="15" w:type="dxa"/>
            </w:tcMar>
            <w:vAlign w:val="center"/>
          </w:tcPr>
          <w:p w:rsidR="002210DD" w:rsidRDefault="00A205B8">
            <w:pPr>
              <w:spacing w:line="240" w:lineRule="auto"/>
              <w:ind w:firstLineChars="0" w:firstLine="0"/>
              <w:jc w:val="center"/>
              <w:rPr>
                <w:sz w:val="21"/>
              </w:rPr>
            </w:pPr>
            <w:r>
              <w:rPr>
                <w:b/>
                <w:bCs/>
                <w:sz w:val="21"/>
              </w:rPr>
              <w:t>NO</w:t>
            </w:r>
          </w:p>
        </w:tc>
        <w:tc>
          <w:tcPr>
            <w:tcW w:w="1326" w:type="dxa"/>
            <w:tcMar>
              <w:top w:w="15" w:type="dxa"/>
              <w:left w:w="15" w:type="dxa"/>
              <w:right w:w="15" w:type="dxa"/>
            </w:tcMar>
            <w:vAlign w:val="center"/>
          </w:tcPr>
          <w:p w:rsidR="002210DD" w:rsidRDefault="00A205B8">
            <w:pPr>
              <w:spacing w:line="240" w:lineRule="auto"/>
              <w:ind w:firstLineChars="0" w:firstLine="0"/>
              <w:jc w:val="center"/>
              <w:rPr>
                <w:sz w:val="21"/>
              </w:rPr>
            </w:pPr>
            <w:r>
              <w:rPr>
                <w:b/>
                <w:bCs/>
                <w:sz w:val="21"/>
              </w:rPr>
              <w:t>O</w:t>
            </w:r>
            <w:r>
              <w:rPr>
                <w:b/>
                <w:bCs/>
                <w:sz w:val="21"/>
                <w:vertAlign w:val="subscript"/>
              </w:rPr>
              <w:t>3</w:t>
            </w:r>
          </w:p>
        </w:tc>
        <w:tc>
          <w:tcPr>
            <w:tcW w:w="1314" w:type="dxa"/>
            <w:tcMar>
              <w:top w:w="15" w:type="dxa"/>
              <w:left w:w="15" w:type="dxa"/>
              <w:right w:w="15" w:type="dxa"/>
            </w:tcMar>
            <w:vAlign w:val="center"/>
          </w:tcPr>
          <w:p w:rsidR="002210DD" w:rsidRDefault="00A205B8">
            <w:pPr>
              <w:spacing w:line="240" w:lineRule="auto"/>
              <w:ind w:firstLineChars="0" w:firstLine="0"/>
              <w:jc w:val="center"/>
              <w:rPr>
                <w:sz w:val="21"/>
              </w:rPr>
            </w:pPr>
            <w:r>
              <w:rPr>
                <w:b/>
                <w:bCs/>
                <w:sz w:val="21"/>
              </w:rPr>
              <w:t>CO</w:t>
            </w:r>
          </w:p>
        </w:tc>
      </w:tr>
      <w:tr w:rsidR="002210DD">
        <w:trPr>
          <w:trHeight w:val="340"/>
          <w:jc w:val="center"/>
        </w:trPr>
        <w:tc>
          <w:tcPr>
            <w:tcW w:w="1769" w:type="dxa"/>
            <w:tcMar>
              <w:top w:w="15" w:type="dxa"/>
              <w:left w:w="15" w:type="dxa"/>
              <w:right w:w="15" w:type="dxa"/>
            </w:tcMar>
            <w:vAlign w:val="center"/>
          </w:tcPr>
          <w:p w:rsidR="002210DD" w:rsidRDefault="00A205B8">
            <w:pPr>
              <w:spacing w:line="240" w:lineRule="auto"/>
              <w:ind w:firstLineChars="0" w:firstLine="0"/>
              <w:jc w:val="center"/>
              <w:rPr>
                <w:sz w:val="21"/>
              </w:rPr>
            </w:pPr>
            <w:r>
              <w:rPr>
                <w:sz w:val="21"/>
              </w:rPr>
              <w:t>国标</w:t>
            </w:r>
            <w:r>
              <w:rPr>
                <w:sz w:val="21"/>
              </w:rPr>
              <w:t>HJ654</w:t>
            </w:r>
          </w:p>
        </w:tc>
        <w:tc>
          <w:tcPr>
            <w:tcW w:w="789"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≤2 ppb</w:t>
            </w:r>
          </w:p>
        </w:tc>
        <w:tc>
          <w:tcPr>
            <w:tcW w:w="965"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≤2 ppb</w:t>
            </w:r>
          </w:p>
        </w:tc>
        <w:tc>
          <w:tcPr>
            <w:tcW w:w="600"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95"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≤2 ppb</w:t>
            </w:r>
          </w:p>
        </w:tc>
        <w:tc>
          <w:tcPr>
            <w:tcW w:w="788"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≤0.5 ppm</w:t>
            </w:r>
          </w:p>
        </w:tc>
      </w:tr>
      <w:tr w:rsidR="002210DD">
        <w:trPr>
          <w:trHeight w:val="340"/>
          <w:jc w:val="center"/>
        </w:trPr>
        <w:tc>
          <w:tcPr>
            <w:tcW w:w="1769" w:type="dxa"/>
            <w:tcMar>
              <w:top w:w="15" w:type="dxa"/>
              <w:left w:w="15" w:type="dxa"/>
              <w:right w:w="15" w:type="dxa"/>
            </w:tcMar>
            <w:vAlign w:val="center"/>
          </w:tcPr>
          <w:p w:rsidR="002210DD" w:rsidRDefault="00A205B8">
            <w:pPr>
              <w:spacing w:line="240" w:lineRule="auto"/>
              <w:ind w:firstLineChars="0" w:firstLine="0"/>
              <w:jc w:val="center"/>
              <w:rPr>
                <w:sz w:val="21"/>
              </w:rPr>
            </w:pPr>
            <w:r>
              <w:rPr>
                <w:sz w:val="21"/>
              </w:rPr>
              <w:t>地标</w:t>
            </w:r>
            <w:r>
              <w:rPr>
                <w:sz w:val="21"/>
              </w:rPr>
              <w:t>DB13/T2544</w:t>
            </w:r>
          </w:p>
        </w:tc>
        <w:tc>
          <w:tcPr>
            <w:tcW w:w="789"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≤5 ppb</w:t>
            </w:r>
          </w:p>
        </w:tc>
        <w:tc>
          <w:tcPr>
            <w:tcW w:w="965"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≤5 ppb</w:t>
            </w:r>
          </w:p>
        </w:tc>
        <w:tc>
          <w:tcPr>
            <w:tcW w:w="600"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95"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≤5 ppb</w:t>
            </w:r>
          </w:p>
        </w:tc>
        <w:tc>
          <w:tcPr>
            <w:tcW w:w="788"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≤0.1 ppm</w:t>
            </w:r>
          </w:p>
        </w:tc>
      </w:tr>
      <w:tr w:rsidR="002210DD">
        <w:trPr>
          <w:trHeight w:val="340"/>
          <w:jc w:val="center"/>
        </w:trPr>
        <w:tc>
          <w:tcPr>
            <w:tcW w:w="1769" w:type="dxa"/>
            <w:tcMar>
              <w:top w:w="15" w:type="dxa"/>
              <w:left w:w="15" w:type="dxa"/>
              <w:right w:w="15" w:type="dxa"/>
            </w:tcMar>
            <w:vAlign w:val="center"/>
          </w:tcPr>
          <w:p w:rsidR="002210DD" w:rsidRDefault="00A205B8">
            <w:pPr>
              <w:spacing w:line="240" w:lineRule="auto"/>
              <w:ind w:firstLineChars="0" w:firstLine="0"/>
              <w:jc w:val="center"/>
              <w:rPr>
                <w:sz w:val="21"/>
              </w:rPr>
            </w:pPr>
            <w:r>
              <w:rPr>
                <w:rFonts w:hint="eastAsia"/>
                <w:sz w:val="21"/>
              </w:rPr>
              <w:t>比对测试结果</w:t>
            </w:r>
          </w:p>
        </w:tc>
        <w:tc>
          <w:tcPr>
            <w:tcW w:w="789" w:type="pct"/>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0.00~15.46 ppb</w:t>
            </w:r>
          </w:p>
        </w:tc>
        <w:tc>
          <w:tcPr>
            <w:tcW w:w="965" w:type="pct"/>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0.00~48.53 ppb</w:t>
            </w:r>
          </w:p>
        </w:tc>
        <w:tc>
          <w:tcPr>
            <w:tcW w:w="600" w:type="pct"/>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95" w:type="pct"/>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0.00~93.53 ppb</w:t>
            </w:r>
          </w:p>
        </w:tc>
        <w:tc>
          <w:tcPr>
            <w:tcW w:w="788" w:type="pct"/>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0.00~0.05 ppm</w:t>
            </w:r>
          </w:p>
        </w:tc>
      </w:tr>
      <w:tr w:rsidR="002210DD">
        <w:trPr>
          <w:trHeight w:val="340"/>
          <w:jc w:val="center"/>
        </w:trPr>
        <w:tc>
          <w:tcPr>
            <w:tcW w:w="1061"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本规范</w:t>
            </w:r>
          </w:p>
        </w:tc>
        <w:tc>
          <w:tcPr>
            <w:tcW w:w="1352" w:type="dxa"/>
            <w:tcMar>
              <w:top w:w="15" w:type="dxa"/>
              <w:left w:w="15" w:type="dxa"/>
              <w:right w:w="15" w:type="dxa"/>
            </w:tcMar>
            <w:vAlign w:val="center"/>
          </w:tcPr>
          <w:p w:rsidR="002210DD" w:rsidRDefault="00A205B8">
            <w:pPr>
              <w:spacing w:line="240" w:lineRule="auto"/>
              <w:ind w:firstLineChars="0" w:firstLine="0"/>
              <w:jc w:val="center"/>
              <w:rPr>
                <w:sz w:val="21"/>
              </w:rPr>
            </w:pPr>
            <w:r>
              <w:rPr>
                <w:sz w:val="21"/>
              </w:rPr>
              <w:t>≤5 ppb</w:t>
            </w:r>
          </w:p>
        </w:tc>
        <w:tc>
          <w:tcPr>
            <w:tcW w:w="1592" w:type="dxa"/>
            <w:tcMar>
              <w:top w:w="15" w:type="dxa"/>
              <w:left w:w="15" w:type="dxa"/>
              <w:right w:w="15" w:type="dxa"/>
            </w:tcMar>
            <w:vAlign w:val="center"/>
          </w:tcPr>
          <w:p w:rsidR="002210DD" w:rsidRDefault="00A205B8">
            <w:pPr>
              <w:spacing w:line="240" w:lineRule="auto"/>
              <w:ind w:firstLineChars="0" w:firstLine="0"/>
              <w:jc w:val="center"/>
              <w:rPr>
                <w:sz w:val="21"/>
              </w:rPr>
            </w:pPr>
            <w:r>
              <w:rPr>
                <w:sz w:val="21"/>
              </w:rPr>
              <w:t>≤5 ppb</w:t>
            </w:r>
          </w:p>
        </w:tc>
        <w:tc>
          <w:tcPr>
            <w:tcW w:w="984" w:type="dxa"/>
            <w:tcMar>
              <w:top w:w="15" w:type="dxa"/>
              <w:left w:w="15" w:type="dxa"/>
              <w:right w:w="15" w:type="dxa"/>
            </w:tcMar>
            <w:vAlign w:val="center"/>
          </w:tcPr>
          <w:p w:rsidR="002210DD" w:rsidRDefault="00A205B8">
            <w:pPr>
              <w:spacing w:line="240" w:lineRule="auto"/>
              <w:ind w:firstLineChars="0" w:firstLine="0"/>
              <w:jc w:val="center"/>
              <w:rPr>
                <w:sz w:val="21"/>
              </w:rPr>
            </w:pPr>
            <w:r>
              <w:rPr>
                <w:sz w:val="21"/>
              </w:rPr>
              <w:t>≤5 ppb</w:t>
            </w:r>
          </w:p>
        </w:tc>
        <w:tc>
          <w:tcPr>
            <w:tcW w:w="1353" w:type="dxa"/>
            <w:tcMar>
              <w:top w:w="15" w:type="dxa"/>
              <w:left w:w="15" w:type="dxa"/>
              <w:right w:w="15" w:type="dxa"/>
            </w:tcMar>
            <w:vAlign w:val="center"/>
          </w:tcPr>
          <w:p w:rsidR="002210DD" w:rsidRDefault="00A205B8">
            <w:pPr>
              <w:spacing w:line="240" w:lineRule="auto"/>
              <w:ind w:firstLineChars="0" w:firstLine="0"/>
              <w:jc w:val="center"/>
              <w:rPr>
                <w:sz w:val="21"/>
              </w:rPr>
            </w:pPr>
            <w:r>
              <w:rPr>
                <w:sz w:val="21"/>
              </w:rPr>
              <w:t>≤5 ppb</w:t>
            </w:r>
          </w:p>
        </w:tc>
        <w:tc>
          <w:tcPr>
            <w:tcW w:w="1298" w:type="dxa"/>
            <w:tcMar>
              <w:top w:w="15" w:type="dxa"/>
              <w:left w:w="15" w:type="dxa"/>
              <w:right w:w="15" w:type="dxa"/>
            </w:tcMar>
            <w:vAlign w:val="center"/>
          </w:tcPr>
          <w:p w:rsidR="002210DD" w:rsidRDefault="00A205B8">
            <w:pPr>
              <w:spacing w:line="240" w:lineRule="auto"/>
              <w:ind w:firstLineChars="0" w:firstLine="0"/>
              <w:jc w:val="center"/>
              <w:rPr>
                <w:sz w:val="21"/>
              </w:rPr>
            </w:pPr>
            <w:r>
              <w:rPr>
                <w:sz w:val="21"/>
              </w:rPr>
              <w:t>≤0.1 ppm</w:t>
            </w:r>
          </w:p>
        </w:tc>
      </w:tr>
    </w:tbl>
    <w:p w:rsidR="002210DD" w:rsidRDefault="00A205B8">
      <w:pPr>
        <w:pStyle w:val="3"/>
      </w:pPr>
      <w:r>
        <w:lastRenderedPageBreak/>
        <w:t>量程噪声</w:t>
      </w:r>
    </w:p>
    <w:p w:rsidR="002210DD" w:rsidRDefault="00A205B8">
      <w:pPr>
        <w:tabs>
          <w:tab w:val="left" w:pos="420"/>
        </w:tabs>
        <w:ind w:firstLine="480"/>
      </w:pPr>
      <w:r>
        <w:t>SO</w:t>
      </w:r>
      <w:r>
        <w:rPr>
          <w:vertAlign w:val="subscript"/>
        </w:rPr>
        <w:t>2</w:t>
      </w:r>
      <w:r>
        <w:t>、</w:t>
      </w:r>
      <w:r>
        <w:t>NO</w:t>
      </w:r>
      <w:r>
        <w:rPr>
          <w:vertAlign w:val="subscript"/>
        </w:rPr>
        <w:t>2</w:t>
      </w:r>
      <w:r>
        <w:t>、</w:t>
      </w:r>
      <w:r>
        <w:t>NO</w:t>
      </w:r>
      <w:r>
        <w:t>、</w:t>
      </w:r>
      <w:r>
        <w:t>O</w:t>
      </w:r>
      <w:r>
        <w:rPr>
          <w:vertAlign w:val="subscript"/>
        </w:rPr>
        <w:t>3</w:t>
      </w:r>
      <w:r>
        <w:t>的量程噪声：</w:t>
      </w:r>
      <w:r>
        <w:t>≤15 nmol/mol</w:t>
      </w:r>
      <w:r>
        <w:t>；</w:t>
      </w:r>
    </w:p>
    <w:p w:rsidR="002210DD" w:rsidRDefault="00A205B8">
      <w:pPr>
        <w:tabs>
          <w:tab w:val="left" w:pos="420"/>
        </w:tabs>
        <w:ind w:firstLine="480"/>
      </w:pPr>
      <w:r>
        <w:t>CO</w:t>
      </w:r>
      <w:r>
        <w:t>的量程噪声：</w:t>
      </w:r>
      <w:r>
        <w:t>≤0.4 μmol/mol</w:t>
      </w:r>
      <w:r>
        <w:t>。</w:t>
      </w:r>
    </w:p>
    <w:p w:rsidR="002210DD" w:rsidRDefault="00A205B8">
      <w:pPr>
        <w:spacing w:afterLines="50" w:after="156"/>
        <w:ind w:firstLineChars="0" w:firstLine="0"/>
        <w:jc w:val="center"/>
      </w:pPr>
      <w:r>
        <w:rPr>
          <w:noProof/>
        </w:rPr>
        <w:drawing>
          <wp:inline distT="0" distB="0" distL="114300" distR="114300">
            <wp:extent cx="2592070" cy="1632585"/>
            <wp:effectExtent l="0" t="0" r="11430" b="5715"/>
            <wp:docPr id="3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7"/>
                    <pic:cNvPicPr>
                      <a:picLocks noChangeAspect="1"/>
                    </pic:cNvPicPr>
                  </pic:nvPicPr>
                  <pic:blipFill>
                    <a:blip r:embed="rId16"/>
                    <a:stretch>
                      <a:fillRect/>
                    </a:stretch>
                  </pic:blipFill>
                  <pic:spPr>
                    <a:xfrm>
                      <a:off x="0" y="0"/>
                      <a:ext cx="2592070" cy="1632585"/>
                    </a:xfrm>
                    <a:prstGeom prst="rect">
                      <a:avLst/>
                    </a:prstGeom>
                    <a:noFill/>
                    <a:ln>
                      <a:noFill/>
                    </a:ln>
                  </pic:spPr>
                </pic:pic>
              </a:graphicData>
            </a:graphic>
          </wp:inline>
        </w:drawing>
      </w:r>
      <w:r>
        <w:rPr>
          <w:noProof/>
        </w:rPr>
        <w:drawing>
          <wp:inline distT="0" distB="0" distL="114300" distR="114300">
            <wp:extent cx="2592070" cy="1639570"/>
            <wp:effectExtent l="0" t="0" r="11430" b="11430"/>
            <wp:docPr id="3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8"/>
                    <pic:cNvPicPr>
                      <a:picLocks noChangeAspect="1"/>
                    </pic:cNvPicPr>
                  </pic:nvPicPr>
                  <pic:blipFill>
                    <a:blip r:embed="rId17"/>
                    <a:stretch>
                      <a:fillRect/>
                    </a:stretch>
                  </pic:blipFill>
                  <pic:spPr>
                    <a:xfrm>
                      <a:off x="0" y="0"/>
                      <a:ext cx="2592070" cy="1639570"/>
                    </a:xfrm>
                    <a:prstGeom prst="rect">
                      <a:avLst/>
                    </a:prstGeom>
                    <a:noFill/>
                    <a:ln>
                      <a:noFill/>
                    </a:ln>
                  </pic:spPr>
                </pic:pic>
              </a:graphicData>
            </a:graphic>
          </wp:inline>
        </w:drawing>
      </w:r>
      <w:r>
        <w:rPr>
          <w:noProof/>
        </w:rPr>
        <w:drawing>
          <wp:inline distT="0" distB="0" distL="114300" distR="114300">
            <wp:extent cx="2592070" cy="1632585"/>
            <wp:effectExtent l="0" t="0" r="11430" b="5715"/>
            <wp:docPr id="3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9"/>
                    <pic:cNvPicPr>
                      <a:picLocks noChangeAspect="1"/>
                    </pic:cNvPicPr>
                  </pic:nvPicPr>
                  <pic:blipFill>
                    <a:blip r:embed="rId18"/>
                    <a:stretch>
                      <a:fillRect/>
                    </a:stretch>
                  </pic:blipFill>
                  <pic:spPr>
                    <a:xfrm>
                      <a:off x="0" y="0"/>
                      <a:ext cx="2592070" cy="1632585"/>
                    </a:xfrm>
                    <a:prstGeom prst="rect">
                      <a:avLst/>
                    </a:prstGeom>
                    <a:noFill/>
                    <a:ln>
                      <a:noFill/>
                    </a:ln>
                  </pic:spPr>
                </pic:pic>
              </a:graphicData>
            </a:graphic>
          </wp:inline>
        </w:drawing>
      </w:r>
      <w:r>
        <w:rPr>
          <w:noProof/>
        </w:rPr>
        <w:drawing>
          <wp:inline distT="0" distB="0" distL="114300" distR="114300">
            <wp:extent cx="2592070" cy="1632585"/>
            <wp:effectExtent l="0" t="0" r="11430" b="5715"/>
            <wp:docPr id="3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0"/>
                    <pic:cNvPicPr>
                      <a:picLocks noChangeAspect="1"/>
                    </pic:cNvPicPr>
                  </pic:nvPicPr>
                  <pic:blipFill>
                    <a:blip r:embed="rId19"/>
                    <a:stretch>
                      <a:fillRect/>
                    </a:stretch>
                  </pic:blipFill>
                  <pic:spPr>
                    <a:xfrm>
                      <a:off x="0" y="0"/>
                      <a:ext cx="2592070" cy="1632585"/>
                    </a:xfrm>
                    <a:prstGeom prst="rect">
                      <a:avLst/>
                    </a:prstGeom>
                    <a:noFill/>
                    <a:ln>
                      <a:noFill/>
                    </a:ln>
                  </pic:spPr>
                </pic:pic>
              </a:graphicData>
            </a:graphic>
          </wp:inline>
        </w:drawing>
      </w:r>
    </w:p>
    <w:p w:rsidR="002210DD" w:rsidRDefault="00A205B8">
      <w:pPr>
        <w:spacing w:afterLines="50" w:after="156"/>
        <w:ind w:firstLineChars="0" w:firstLine="0"/>
        <w:jc w:val="center"/>
        <w:rPr>
          <w:b/>
          <w:sz w:val="21"/>
        </w:rPr>
      </w:pPr>
      <w:r>
        <w:rPr>
          <w:b/>
          <w:sz w:val="21"/>
        </w:rPr>
        <w:t>图</w:t>
      </w:r>
      <w:r>
        <w:rPr>
          <w:b/>
          <w:sz w:val="21"/>
        </w:rPr>
        <w:t xml:space="preserve">5.5-3  </w:t>
      </w:r>
      <w:r>
        <w:rPr>
          <w:b/>
          <w:sz w:val="21"/>
        </w:rPr>
        <w:t>量程噪声</w:t>
      </w:r>
      <w:r>
        <w:rPr>
          <w:rFonts w:hint="eastAsia"/>
          <w:b/>
          <w:sz w:val="21"/>
        </w:rPr>
        <w:t>比对测试结果</w:t>
      </w:r>
    </w:p>
    <w:p w:rsidR="002210DD" w:rsidRDefault="00A205B8">
      <w:pPr>
        <w:ind w:firstLine="480"/>
      </w:pPr>
      <w:r>
        <w:t>统计国内</w:t>
      </w:r>
      <w:r>
        <w:t>10</w:t>
      </w:r>
      <w:r>
        <w:t>家生产厂家的监测单元，综合考虑大多数设备的情况，拟定出传感器法自动监测系统设备</w:t>
      </w:r>
      <w:r>
        <w:t>SO</w:t>
      </w:r>
      <w:r>
        <w:rPr>
          <w:vertAlign w:val="subscript"/>
        </w:rPr>
        <w:t>2</w:t>
      </w:r>
      <w:r>
        <w:t>、</w:t>
      </w:r>
      <w:r>
        <w:t>NO</w:t>
      </w:r>
      <w:r>
        <w:rPr>
          <w:vertAlign w:val="subscript"/>
        </w:rPr>
        <w:t>2</w:t>
      </w:r>
      <w:r>
        <w:t>、</w:t>
      </w:r>
      <w:r>
        <w:t>NO</w:t>
      </w:r>
      <w:r>
        <w:t>、</w:t>
      </w:r>
      <w:r>
        <w:t>O</w:t>
      </w:r>
      <w:r>
        <w:rPr>
          <w:vertAlign w:val="subscript"/>
        </w:rPr>
        <w:t>3</w:t>
      </w:r>
      <w:r>
        <w:t>的量程噪声不大于</w:t>
      </w:r>
      <w:r>
        <w:t>15 ppb</w:t>
      </w:r>
      <w:r>
        <w:t>，较国标</w:t>
      </w:r>
      <w:r>
        <w:t>HJ654</w:t>
      </w:r>
      <w:r>
        <w:t>更宽松；</w:t>
      </w:r>
      <w:r>
        <w:t>CO</w:t>
      </w:r>
      <w:r>
        <w:t>的量程噪声不大于</w:t>
      </w:r>
      <w:r>
        <w:t>0.4 ppb</w:t>
      </w:r>
      <w:r>
        <w:t>，较国标</w:t>
      </w:r>
      <w:r>
        <w:t>HJ654</w:t>
      </w:r>
      <w:r>
        <w:t>更严格。</w:t>
      </w:r>
    </w:p>
    <w:p w:rsidR="002210DD" w:rsidRDefault="00A205B8">
      <w:pPr>
        <w:spacing w:beforeLines="50" w:before="156"/>
        <w:ind w:firstLineChars="0" w:firstLine="0"/>
        <w:jc w:val="center"/>
        <w:rPr>
          <w:b/>
          <w:sz w:val="21"/>
        </w:rPr>
      </w:pPr>
      <w:r>
        <w:rPr>
          <w:b/>
          <w:sz w:val="21"/>
        </w:rPr>
        <w:t>表</w:t>
      </w:r>
      <w:r>
        <w:rPr>
          <w:b/>
          <w:sz w:val="21"/>
        </w:rPr>
        <w:t xml:space="preserve">5.5-5  </w:t>
      </w:r>
      <w:r>
        <w:rPr>
          <w:b/>
          <w:sz w:val="21"/>
        </w:rPr>
        <w:t>量程噪声对比</w:t>
      </w:r>
    </w:p>
    <w:tbl>
      <w:tblPr>
        <w:tblpPr w:leftFromText="180" w:rightFromText="180" w:vertAnchor="text" w:horzAnchor="page" w:tblpXSpec="center" w:tblpY="76"/>
        <w:tblOverlap w:val="never"/>
        <w:tblW w:w="499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4"/>
        <w:gridCol w:w="1352"/>
        <w:gridCol w:w="1576"/>
        <w:gridCol w:w="972"/>
        <w:gridCol w:w="1352"/>
        <w:gridCol w:w="1305"/>
      </w:tblGrid>
      <w:tr w:rsidR="002210DD">
        <w:trPr>
          <w:trHeight w:val="340"/>
          <w:tblHeader/>
          <w:jc w:val="center"/>
        </w:trPr>
        <w:tc>
          <w:tcPr>
            <w:tcW w:w="1768" w:type="dxa"/>
            <w:tcMar>
              <w:top w:w="15" w:type="dxa"/>
              <w:left w:w="15" w:type="dxa"/>
              <w:right w:w="15" w:type="dxa"/>
            </w:tcMar>
            <w:vAlign w:val="center"/>
          </w:tcPr>
          <w:p w:rsidR="002210DD" w:rsidRDefault="00A205B8">
            <w:pPr>
              <w:spacing w:line="240" w:lineRule="auto"/>
              <w:ind w:firstLineChars="0" w:firstLine="0"/>
              <w:jc w:val="center"/>
              <w:rPr>
                <w:sz w:val="21"/>
              </w:rPr>
            </w:pPr>
            <w:r>
              <w:rPr>
                <w:b/>
                <w:bCs/>
                <w:sz w:val="21"/>
              </w:rPr>
              <w:t>规范名称</w:t>
            </w:r>
          </w:p>
        </w:tc>
        <w:tc>
          <w:tcPr>
            <w:tcW w:w="1315" w:type="dxa"/>
            <w:tcMar>
              <w:top w:w="15" w:type="dxa"/>
              <w:left w:w="15" w:type="dxa"/>
              <w:right w:w="15" w:type="dxa"/>
            </w:tcMar>
            <w:vAlign w:val="center"/>
          </w:tcPr>
          <w:p w:rsidR="002210DD" w:rsidRDefault="00A205B8">
            <w:pPr>
              <w:spacing w:line="240" w:lineRule="auto"/>
              <w:ind w:firstLineChars="0" w:firstLine="0"/>
              <w:jc w:val="center"/>
              <w:rPr>
                <w:sz w:val="21"/>
              </w:rPr>
            </w:pPr>
            <w:r>
              <w:rPr>
                <w:b/>
                <w:bCs/>
                <w:sz w:val="21"/>
              </w:rPr>
              <w:t>SO</w:t>
            </w:r>
            <w:r>
              <w:rPr>
                <w:b/>
                <w:bCs/>
                <w:sz w:val="21"/>
                <w:vertAlign w:val="subscript"/>
              </w:rPr>
              <w:t>2</w:t>
            </w:r>
          </w:p>
        </w:tc>
        <w:tc>
          <w:tcPr>
            <w:tcW w:w="1608" w:type="dxa"/>
            <w:tcMar>
              <w:top w:w="15" w:type="dxa"/>
              <w:left w:w="15" w:type="dxa"/>
              <w:right w:w="15" w:type="dxa"/>
            </w:tcMar>
            <w:vAlign w:val="center"/>
          </w:tcPr>
          <w:p w:rsidR="002210DD" w:rsidRDefault="00A205B8">
            <w:pPr>
              <w:spacing w:line="240" w:lineRule="auto"/>
              <w:ind w:firstLineChars="0" w:firstLine="0"/>
              <w:jc w:val="center"/>
              <w:rPr>
                <w:sz w:val="21"/>
              </w:rPr>
            </w:pPr>
            <w:r>
              <w:rPr>
                <w:b/>
                <w:bCs/>
                <w:sz w:val="21"/>
              </w:rPr>
              <w:t>NO</w:t>
            </w:r>
            <w:r>
              <w:rPr>
                <w:b/>
                <w:bCs/>
                <w:sz w:val="21"/>
                <w:vertAlign w:val="subscript"/>
              </w:rPr>
              <w:t>2</w:t>
            </w:r>
          </w:p>
        </w:tc>
        <w:tc>
          <w:tcPr>
            <w:tcW w:w="1000" w:type="dxa"/>
            <w:tcMar>
              <w:top w:w="15" w:type="dxa"/>
              <w:left w:w="15" w:type="dxa"/>
              <w:right w:w="15" w:type="dxa"/>
            </w:tcMar>
            <w:vAlign w:val="center"/>
          </w:tcPr>
          <w:p w:rsidR="002210DD" w:rsidRDefault="00A205B8">
            <w:pPr>
              <w:spacing w:line="240" w:lineRule="auto"/>
              <w:ind w:firstLineChars="0" w:firstLine="0"/>
              <w:jc w:val="center"/>
              <w:rPr>
                <w:sz w:val="21"/>
              </w:rPr>
            </w:pPr>
            <w:r>
              <w:rPr>
                <w:b/>
                <w:bCs/>
                <w:sz w:val="21"/>
              </w:rPr>
              <w:t>NO</w:t>
            </w:r>
          </w:p>
        </w:tc>
        <w:tc>
          <w:tcPr>
            <w:tcW w:w="1326" w:type="dxa"/>
            <w:tcMar>
              <w:top w:w="15" w:type="dxa"/>
              <w:left w:w="15" w:type="dxa"/>
              <w:right w:w="15" w:type="dxa"/>
            </w:tcMar>
            <w:vAlign w:val="center"/>
          </w:tcPr>
          <w:p w:rsidR="002210DD" w:rsidRDefault="00A205B8">
            <w:pPr>
              <w:spacing w:line="240" w:lineRule="auto"/>
              <w:ind w:firstLineChars="0" w:firstLine="0"/>
              <w:jc w:val="center"/>
              <w:rPr>
                <w:sz w:val="21"/>
              </w:rPr>
            </w:pPr>
            <w:r>
              <w:rPr>
                <w:b/>
                <w:bCs/>
                <w:sz w:val="21"/>
              </w:rPr>
              <w:t>O</w:t>
            </w:r>
            <w:r>
              <w:rPr>
                <w:b/>
                <w:bCs/>
                <w:sz w:val="21"/>
                <w:vertAlign w:val="subscript"/>
              </w:rPr>
              <w:t>3</w:t>
            </w:r>
          </w:p>
        </w:tc>
        <w:tc>
          <w:tcPr>
            <w:tcW w:w="1314" w:type="dxa"/>
            <w:tcMar>
              <w:top w:w="15" w:type="dxa"/>
              <w:left w:w="15" w:type="dxa"/>
              <w:right w:w="15" w:type="dxa"/>
            </w:tcMar>
            <w:vAlign w:val="center"/>
          </w:tcPr>
          <w:p w:rsidR="002210DD" w:rsidRDefault="00A205B8">
            <w:pPr>
              <w:spacing w:line="240" w:lineRule="auto"/>
              <w:ind w:firstLineChars="0" w:firstLine="0"/>
              <w:jc w:val="center"/>
              <w:rPr>
                <w:sz w:val="21"/>
              </w:rPr>
            </w:pPr>
            <w:r>
              <w:rPr>
                <w:b/>
                <w:bCs/>
                <w:sz w:val="21"/>
              </w:rPr>
              <w:t>CO</w:t>
            </w:r>
          </w:p>
        </w:tc>
      </w:tr>
      <w:tr w:rsidR="002210DD">
        <w:trPr>
          <w:trHeight w:val="340"/>
          <w:jc w:val="center"/>
        </w:trPr>
        <w:tc>
          <w:tcPr>
            <w:tcW w:w="1769" w:type="dxa"/>
            <w:tcMar>
              <w:top w:w="15" w:type="dxa"/>
              <w:left w:w="15" w:type="dxa"/>
              <w:right w:w="15" w:type="dxa"/>
            </w:tcMar>
            <w:vAlign w:val="center"/>
          </w:tcPr>
          <w:p w:rsidR="002210DD" w:rsidRDefault="00A205B8">
            <w:pPr>
              <w:spacing w:line="240" w:lineRule="auto"/>
              <w:ind w:firstLineChars="0" w:firstLine="0"/>
              <w:jc w:val="center"/>
              <w:rPr>
                <w:sz w:val="21"/>
              </w:rPr>
            </w:pPr>
            <w:r>
              <w:rPr>
                <w:sz w:val="21"/>
              </w:rPr>
              <w:t>国标</w:t>
            </w:r>
            <w:r>
              <w:rPr>
                <w:sz w:val="21"/>
              </w:rPr>
              <w:t>HJ654</w:t>
            </w:r>
          </w:p>
        </w:tc>
        <w:tc>
          <w:tcPr>
            <w:tcW w:w="789"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≤5 ppb</w:t>
            </w:r>
          </w:p>
        </w:tc>
        <w:tc>
          <w:tcPr>
            <w:tcW w:w="965"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≤5 ppb</w:t>
            </w:r>
          </w:p>
        </w:tc>
        <w:tc>
          <w:tcPr>
            <w:tcW w:w="600"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95"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≤5 ppb</w:t>
            </w:r>
          </w:p>
        </w:tc>
        <w:tc>
          <w:tcPr>
            <w:tcW w:w="788"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≤1 ppm</w:t>
            </w:r>
          </w:p>
        </w:tc>
      </w:tr>
      <w:tr w:rsidR="002210DD">
        <w:trPr>
          <w:trHeight w:val="340"/>
          <w:jc w:val="center"/>
        </w:trPr>
        <w:tc>
          <w:tcPr>
            <w:tcW w:w="1769" w:type="dxa"/>
            <w:tcMar>
              <w:top w:w="15" w:type="dxa"/>
              <w:left w:w="15" w:type="dxa"/>
              <w:right w:w="15" w:type="dxa"/>
            </w:tcMar>
            <w:vAlign w:val="center"/>
          </w:tcPr>
          <w:p w:rsidR="002210DD" w:rsidRDefault="00A205B8">
            <w:pPr>
              <w:spacing w:line="240" w:lineRule="auto"/>
              <w:ind w:firstLineChars="0" w:firstLine="0"/>
              <w:jc w:val="center"/>
              <w:rPr>
                <w:sz w:val="21"/>
              </w:rPr>
            </w:pPr>
            <w:r>
              <w:rPr>
                <w:sz w:val="21"/>
              </w:rPr>
              <w:t>地标</w:t>
            </w:r>
            <w:r>
              <w:rPr>
                <w:sz w:val="21"/>
              </w:rPr>
              <w:t>DB13/T2544</w:t>
            </w:r>
          </w:p>
        </w:tc>
        <w:tc>
          <w:tcPr>
            <w:tcW w:w="1315" w:type="dxa"/>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1608" w:type="dxa"/>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1000" w:type="dxa"/>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1325" w:type="dxa"/>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1314" w:type="dxa"/>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r>
      <w:tr w:rsidR="002210DD">
        <w:trPr>
          <w:trHeight w:val="340"/>
          <w:jc w:val="center"/>
        </w:trPr>
        <w:tc>
          <w:tcPr>
            <w:tcW w:w="1769" w:type="dxa"/>
            <w:tcMar>
              <w:top w:w="15" w:type="dxa"/>
              <w:left w:w="15" w:type="dxa"/>
              <w:right w:w="15" w:type="dxa"/>
            </w:tcMar>
            <w:vAlign w:val="center"/>
          </w:tcPr>
          <w:p w:rsidR="002210DD" w:rsidRDefault="00A205B8">
            <w:pPr>
              <w:spacing w:line="240" w:lineRule="auto"/>
              <w:ind w:firstLineChars="0" w:firstLine="0"/>
              <w:jc w:val="center"/>
              <w:rPr>
                <w:sz w:val="21"/>
              </w:rPr>
            </w:pPr>
            <w:r>
              <w:rPr>
                <w:rFonts w:hint="eastAsia"/>
                <w:sz w:val="21"/>
              </w:rPr>
              <w:t>比对测试结果</w:t>
            </w:r>
          </w:p>
        </w:tc>
        <w:tc>
          <w:tcPr>
            <w:tcW w:w="789" w:type="pct"/>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2.46~25.01 ppb</w:t>
            </w:r>
          </w:p>
        </w:tc>
        <w:tc>
          <w:tcPr>
            <w:tcW w:w="965" w:type="pct"/>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2.62~47.25 ppb</w:t>
            </w:r>
          </w:p>
        </w:tc>
        <w:tc>
          <w:tcPr>
            <w:tcW w:w="600" w:type="pct"/>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95" w:type="pct"/>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3.83~41.88 ppb</w:t>
            </w:r>
          </w:p>
        </w:tc>
        <w:tc>
          <w:tcPr>
            <w:tcW w:w="788" w:type="pct"/>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0.01~0.34 ppm</w:t>
            </w:r>
          </w:p>
        </w:tc>
      </w:tr>
      <w:tr w:rsidR="002210DD">
        <w:trPr>
          <w:trHeight w:val="340"/>
          <w:jc w:val="center"/>
        </w:trPr>
        <w:tc>
          <w:tcPr>
            <w:tcW w:w="1061"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本规范</w:t>
            </w:r>
          </w:p>
        </w:tc>
        <w:tc>
          <w:tcPr>
            <w:tcW w:w="789"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≤15 ppb</w:t>
            </w:r>
          </w:p>
        </w:tc>
        <w:tc>
          <w:tcPr>
            <w:tcW w:w="965"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≤15 ppb</w:t>
            </w:r>
          </w:p>
        </w:tc>
        <w:tc>
          <w:tcPr>
            <w:tcW w:w="600"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≤15</w:t>
            </w:r>
          </w:p>
        </w:tc>
        <w:tc>
          <w:tcPr>
            <w:tcW w:w="795"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≤15 ppb</w:t>
            </w:r>
          </w:p>
        </w:tc>
        <w:tc>
          <w:tcPr>
            <w:tcW w:w="788" w:type="pct"/>
            <w:tcMar>
              <w:top w:w="15" w:type="dxa"/>
              <w:left w:w="15" w:type="dxa"/>
              <w:right w:w="15" w:type="dxa"/>
            </w:tcMar>
            <w:vAlign w:val="center"/>
          </w:tcPr>
          <w:p w:rsidR="002210DD" w:rsidRDefault="00A205B8">
            <w:pPr>
              <w:spacing w:line="240" w:lineRule="auto"/>
              <w:ind w:firstLineChars="0" w:firstLine="0"/>
              <w:jc w:val="center"/>
              <w:rPr>
                <w:sz w:val="21"/>
              </w:rPr>
            </w:pPr>
            <w:r>
              <w:rPr>
                <w:sz w:val="21"/>
              </w:rPr>
              <w:t>≤0.4 ppm</w:t>
            </w:r>
          </w:p>
        </w:tc>
      </w:tr>
    </w:tbl>
    <w:p w:rsidR="002210DD" w:rsidRDefault="00A205B8">
      <w:pPr>
        <w:pStyle w:val="3"/>
      </w:pPr>
      <w:r>
        <w:t xml:space="preserve"> 24h</w:t>
      </w:r>
      <w:r>
        <w:t>零点漂移</w:t>
      </w:r>
    </w:p>
    <w:p w:rsidR="002210DD" w:rsidRDefault="00A205B8">
      <w:pPr>
        <w:tabs>
          <w:tab w:val="left" w:pos="420"/>
        </w:tabs>
        <w:ind w:firstLine="480"/>
      </w:pPr>
      <w:r>
        <w:t>SO</w:t>
      </w:r>
      <w:r>
        <w:rPr>
          <w:vertAlign w:val="subscript"/>
        </w:rPr>
        <w:t>2</w:t>
      </w:r>
      <w:r>
        <w:t>、</w:t>
      </w:r>
      <w:r>
        <w:t>NO</w:t>
      </w:r>
      <w:r>
        <w:rPr>
          <w:vertAlign w:val="subscript"/>
        </w:rPr>
        <w:t>2</w:t>
      </w:r>
      <w:r>
        <w:t>、</w:t>
      </w:r>
      <w:r>
        <w:t>NO</w:t>
      </w:r>
      <w:r>
        <w:t>、</w:t>
      </w:r>
      <w:r>
        <w:t>O</w:t>
      </w:r>
      <w:r>
        <w:rPr>
          <w:vertAlign w:val="subscript"/>
        </w:rPr>
        <w:t>3</w:t>
      </w:r>
      <w:r>
        <w:t>的</w:t>
      </w:r>
      <w:r>
        <w:t>24h</w:t>
      </w:r>
      <w:r>
        <w:t>零点漂移：</w:t>
      </w:r>
      <w:r>
        <w:t>±10 nmol/mol</w:t>
      </w:r>
      <w:r>
        <w:t>；</w:t>
      </w:r>
    </w:p>
    <w:p w:rsidR="002210DD" w:rsidRDefault="00A205B8">
      <w:pPr>
        <w:tabs>
          <w:tab w:val="left" w:pos="420"/>
        </w:tabs>
        <w:ind w:firstLine="480"/>
      </w:pPr>
      <w:r>
        <w:lastRenderedPageBreak/>
        <w:t>CO</w:t>
      </w:r>
      <w:r>
        <w:t>的</w:t>
      </w:r>
      <w:r>
        <w:t>24h</w:t>
      </w:r>
      <w:r>
        <w:t>零点漂移：</w:t>
      </w:r>
      <w:r>
        <w:t>±1 μmol/mol</w:t>
      </w:r>
      <w:r>
        <w:t>。</w:t>
      </w:r>
    </w:p>
    <w:p w:rsidR="002210DD" w:rsidRDefault="00A205B8">
      <w:pPr>
        <w:ind w:firstLineChars="0" w:firstLine="0"/>
        <w:jc w:val="center"/>
      </w:pPr>
      <w:r>
        <w:rPr>
          <w:noProof/>
        </w:rPr>
        <w:drawing>
          <wp:inline distT="0" distB="0" distL="114300" distR="114300">
            <wp:extent cx="2592070" cy="1691005"/>
            <wp:effectExtent l="0" t="0" r="11430" b="10795"/>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20"/>
                    <a:stretch>
                      <a:fillRect/>
                    </a:stretch>
                  </pic:blipFill>
                  <pic:spPr>
                    <a:xfrm>
                      <a:off x="0" y="0"/>
                      <a:ext cx="2592070" cy="1691005"/>
                    </a:xfrm>
                    <a:prstGeom prst="rect">
                      <a:avLst/>
                    </a:prstGeom>
                    <a:noFill/>
                    <a:ln>
                      <a:noFill/>
                    </a:ln>
                  </pic:spPr>
                </pic:pic>
              </a:graphicData>
            </a:graphic>
          </wp:inline>
        </w:drawing>
      </w:r>
      <w:r>
        <w:rPr>
          <w:noProof/>
        </w:rPr>
        <w:drawing>
          <wp:inline distT="0" distB="0" distL="114300" distR="114300">
            <wp:extent cx="2592070" cy="1701800"/>
            <wp:effectExtent l="0" t="0" r="11430" b="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21"/>
                    <a:stretch>
                      <a:fillRect/>
                    </a:stretch>
                  </pic:blipFill>
                  <pic:spPr>
                    <a:xfrm>
                      <a:off x="0" y="0"/>
                      <a:ext cx="2592070" cy="1701800"/>
                    </a:xfrm>
                    <a:prstGeom prst="rect">
                      <a:avLst/>
                    </a:prstGeom>
                    <a:noFill/>
                    <a:ln>
                      <a:noFill/>
                    </a:ln>
                  </pic:spPr>
                </pic:pic>
              </a:graphicData>
            </a:graphic>
          </wp:inline>
        </w:drawing>
      </w:r>
    </w:p>
    <w:p w:rsidR="002210DD" w:rsidRDefault="00A205B8">
      <w:pPr>
        <w:ind w:firstLineChars="0" w:firstLine="0"/>
        <w:jc w:val="center"/>
      </w:pPr>
      <w:r>
        <w:rPr>
          <w:noProof/>
        </w:rPr>
        <w:drawing>
          <wp:inline distT="0" distB="0" distL="114300" distR="114300">
            <wp:extent cx="2592070" cy="1691005"/>
            <wp:effectExtent l="0" t="0" r="11430" b="10795"/>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22"/>
                    <a:stretch>
                      <a:fillRect/>
                    </a:stretch>
                  </pic:blipFill>
                  <pic:spPr>
                    <a:xfrm>
                      <a:off x="0" y="0"/>
                      <a:ext cx="2592070" cy="1691005"/>
                    </a:xfrm>
                    <a:prstGeom prst="rect">
                      <a:avLst/>
                    </a:prstGeom>
                    <a:noFill/>
                    <a:ln>
                      <a:noFill/>
                    </a:ln>
                  </pic:spPr>
                </pic:pic>
              </a:graphicData>
            </a:graphic>
          </wp:inline>
        </w:drawing>
      </w:r>
      <w:r>
        <w:rPr>
          <w:noProof/>
        </w:rPr>
        <w:drawing>
          <wp:inline distT="0" distB="0" distL="114300" distR="114300">
            <wp:extent cx="2592070" cy="1694815"/>
            <wp:effectExtent l="0" t="0" r="11430" b="698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3"/>
                    <a:stretch>
                      <a:fillRect/>
                    </a:stretch>
                  </pic:blipFill>
                  <pic:spPr>
                    <a:xfrm>
                      <a:off x="0" y="0"/>
                      <a:ext cx="2592070" cy="1694815"/>
                    </a:xfrm>
                    <a:prstGeom prst="rect">
                      <a:avLst/>
                    </a:prstGeom>
                    <a:noFill/>
                    <a:ln>
                      <a:noFill/>
                    </a:ln>
                  </pic:spPr>
                </pic:pic>
              </a:graphicData>
            </a:graphic>
          </wp:inline>
        </w:drawing>
      </w:r>
    </w:p>
    <w:p w:rsidR="002210DD" w:rsidRDefault="00A205B8">
      <w:pPr>
        <w:spacing w:afterLines="50" w:after="156"/>
        <w:ind w:firstLineChars="0" w:firstLine="0"/>
        <w:jc w:val="center"/>
        <w:rPr>
          <w:b/>
          <w:sz w:val="21"/>
        </w:rPr>
      </w:pPr>
      <w:r>
        <w:rPr>
          <w:b/>
          <w:sz w:val="21"/>
        </w:rPr>
        <w:t>图</w:t>
      </w:r>
      <w:r>
        <w:rPr>
          <w:b/>
          <w:sz w:val="21"/>
        </w:rPr>
        <w:t xml:space="preserve">5.5-4  </w:t>
      </w:r>
      <w:r>
        <w:rPr>
          <w:b/>
          <w:sz w:val="21"/>
        </w:rPr>
        <w:t>零点漂移</w:t>
      </w:r>
      <w:r>
        <w:rPr>
          <w:rFonts w:hint="eastAsia"/>
          <w:b/>
          <w:sz w:val="21"/>
        </w:rPr>
        <w:t>比对测试结果</w:t>
      </w:r>
    </w:p>
    <w:p w:rsidR="002210DD" w:rsidRDefault="00A205B8">
      <w:pPr>
        <w:spacing w:afterLines="50" w:after="156"/>
        <w:ind w:firstLineChars="0" w:firstLine="0"/>
        <w:jc w:val="center"/>
        <w:rPr>
          <w:bCs/>
          <w:sz w:val="21"/>
        </w:rPr>
      </w:pPr>
      <w:r>
        <w:rPr>
          <w:bCs/>
          <w:sz w:val="21"/>
        </w:rPr>
        <w:t>（注：图中</w:t>
      </w:r>
      <w:r>
        <w:rPr>
          <w:rFonts w:hint="eastAsia"/>
          <w:bCs/>
          <w:sz w:val="21"/>
        </w:rPr>
        <w:t>比对测试结果</w:t>
      </w:r>
      <w:r>
        <w:rPr>
          <w:bCs/>
          <w:sz w:val="21"/>
        </w:rPr>
        <w:t>数据全部以绝对值表示。）</w:t>
      </w:r>
    </w:p>
    <w:p w:rsidR="002210DD" w:rsidRDefault="00A205B8">
      <w:pPr>
        <w:ind w:firstLine="480"/>
      </w:pPr>
      <w:r>
        <w:t>参考地标</w:t>
      </w:r>
      <w:r>
        <w:t>DB 13/T 2544</w:t>
      </w:r>
      <w:r>
        <w:t>和国内</w:t>
      </w:r>
      <w:r>
        <w:t>10</w:t>
      </w:r>
      <w:r>
        <w:t>家生产厂家设备的实际情况，本规范要求</w:t>
      </w:r>
      <w:r>
        <w:t>SO</w:t>
      </w:r>
      <w:r>
        <w:rPr>
          <w:vertAlign w:val="subscript"/>
        </w:rPr>
        <w:t>2</w:t>
      </w:r>
      <w:r>
        <w:t>、</w:t>
      </w:r>
      <w:r>
        <w:t>NO</w:t>
      </w:r>
      <w:r>
        <w:rPr>
          <w:vertAlign w:val="subscript"/>
        </w:rPr>
        <w:t>2</w:t>
      </w:r>
      <w:r>
        <w:t>、</w:t>
      </w:r>
      <w:r>
        <w:t>NO</w:t>
      </w:r>
      <w:r>
        <w:t>、</w:t>
      </w:r>
      <w:r>
        <w:t>O</w:t>
      </w:r>
      <w:r>
        <w:rPr>
          <w:vertAlign w:val="subscript"/>
        </w:rPr>
        <w:t>3</w:t>
      </w:r>
      <w:r>
        <w:t>的</w:t>
      </w:r>
      <w:r>
        <w:t>24h</w:t>
      </w:r>
      <w:r>
        <w:t>零点漂移不大于</w:t>
      </w:r>
      <w:r>
        <w:t>±10 ppb</w:t>
      </w:r>
      <w:r>
        <w:t>，</w:t>
      </w:r>
      <w:r>
        <w:rPr>
          <w:rFonts w:hint="eastAsia"/>
        </w:rPr>
        <w:t>较</w:t>
      </w:r>
      <w:r>
        <w:t>国标</w:t>
      </w:r>
      <w:r>
        <w:t>HJ654</w:t>
      </w:r>
      <w:r>
        <w:t>的要求</w:t>
      </w:r>
      <w:r>
        <w:rPr>
          <w:rFonts w:hint="eastAsia"/>
        </w:rPr>
        <w:t>有所放宽；</w:t>
      </w:r>
      <w:r>
        <w:t>CO</w:t>
      </w:r>
      <w:r>
        <w:t>的</w:t>
      </w:r>
      <w:r>
        <w:t>24h</w:t>
      </w:r>
      <w:r>
        <w:t>零点漂移不大于</w:t>
      </w:r>
      <w:r>
        <w:t>±1 ppm</w:t>
      </w:r>
      <w:r>
        <w:t>，与国标</w:t>
      </w:r>
      <w:r>
        <w:t>HJ654</w:t>
      </w:r>
      <w:r>
        <w:t>的要求保持一致。</w:t>
      </w:r>
    </w:p>
    <w:p w:rsidR="002210DD" w:rsidRDefault="00A205B8">
      <w:pPr>
        <w:spacing w:beforeLines="50" w:before="156"/>
        <w:ind w:firstLineChars="0" w:firstLine="0"/>
        <w:jc w:val="center"/>
        <w:rPr>
          <w:b/>
          <w:sz w:val="21"/>
        </w:rPr>
      </w:pPr>
      <w:r>
        <w:rPr>
          <w:b/>
          <w:sz w:val="21"/>
        </w:rPr>
        <w:t>表</w:t>
      </w:r>
      <w:r>
        <w:rPr>
          <w:b/>
          <w:sz w:val="21"/>
        </w:rPr>
        <w:t>5.5-6  24h</w:t>
      </w:r>
      <w:r>
        <w:rPr>
          <w:b/>
          <w:sz w:val="21"/>
        </w:rPr>
        <w:t>零点漂移对比</w:t>
      </w:r>
    </w:p>
    <w:tbl>
      <w:tblPr>
        <w:tblW w:w="4997" w:type="pct"/>
        <w:tblCellMar>
          <w:left w:w="0" w:type="dxa"/>
          <w:right w:w="0" w:type="dxa"/>
        </w:tblCellMar>
        <w:tblLook w:val="04A0" w:firstRow="1" w:lastRow="0" w:firstColumn="1" w:lastColumn="0" w:noHBand="0" w:noVBand="1"/>
      </w:tblPr>
      <w:tblGrid>
        <w:gridCol w:w="1169"/>
        <w:gridCol w:w="1172"/>
        <w:gridCol w:w="1190"/>
        <w:gridCol w:w="1190"/>
        <w:gridCol w:w="1190"/>
        <w:gridCol w:w="1190"/>
        <w:gridCol w:w="1190"/>
      </w:tblGrid>
      <w:tr w:rsidR="002210DD">
        <w:trPr>
          <w:trHeight w:val="345"/>
        </w:trPr>
        <w:tc>
          <w:tcPr>
            <w:tcW w:w="142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指南名称</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SO</w:t>
            </w:r>
            <w:r>
              <w:rPr>
                <w:vertAlign w:val="subscript"/>
              </w:rPr>
              <w:t>2</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NO</w:t>
            </w:r>
            <w:r>
              <w:rPr>
                <w:vertAlign w:val="subscript"/>
              </w:rPr>
              <w:t>2</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NO</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O</w:t>
            </w:r>
            <w:r>
              <w:rPr>
                <w:vertAlign w:val="subscript"/>
              </w:rPr>
              <w:t>3</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CO</w:t>
            </w:r>
          </w:p>
        </w:tc>
      </w:tr>
      <w:tr w:rsidR="002210DD">
        <w:trPr>
          <w:trHeight w:val="300"/>
        </w:trPr>
        <w:tc>
          <w:tcPr>
            <w:tcW w:w="142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国标</w:t>
            </w:r>
            <w:r>
              <w:t>HJ654</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≤5 ppb</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≤5 ppb</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≤5</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w:t>
            </w:r>
          </w:p>
        </w:tc>
      </w:tr>
      <w:tr w:rsidR="002210DD">
        <w:trPr>
          <w:trHeight w:val="300"/>
        </w:trPr>
        <w:tc>
          <w:tcPr>
            <w:tcW w:w="142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proofErr w:type="gramStart"/>
            <w:r>
              <w:t>环办监测</w:t>
            </w:r>
            <w:proofErr w:type="gramEnd"/>
            <w:r>
              <w:t>函</w:t>
            </w:r>
            <w:r>
              <w:t>[2017] 2027</w:t>
            </w:r>
            <w:r>
              <w:t>号</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w:t>
            </w:r>
          </w:p>
        </w:tc>
      </w:tr>
      <w:tr w:rsidR="002210DD">
        <w:trPr>
          <w:trHeight w:val="300"/>
        </w:trPr>
        <w:tc>
          <w:tcPr>
            <w:tcW w:w="142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地标</w:t>
            </w:r>
            <w:r>
              <w:t>DB13/T2544</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≤10 ppb</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≤10 ppb</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≤10 ppb</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≤0.1 ppm</w:t>
            </w:r>
          </w:p>
        </w:tc>
      </w:tr>
      <w:tr w:rsidR="002210DD">
        <w:trPr>
          <w:trHeight w:val="300"/>
        </w:trPr>
        <w:tc>
          <w:tcPr>
            <w:tcW w:w="714" w:type="pct"/>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rPr>
                <w:rFonts w:hint="eastAsia"/>
              </w:rPr>
              <w:t>比对测试结果</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平均值</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-5.91ppb</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 xml:space="preserve">-4.77 ppb </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 xml:space="preserve">-4.20 ppb </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 xml:space="preserve">-4.53 ppb </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 xml:space="preserve">-0.11 ppm </w:t>
            </w:r>
          </w:p>
        </w:tc>
      </w:tr>
      <w:tr w:rsidR="002210DD">
        <w:trPr>
          <w:trHeight w:val="300"/>
        </w:trPr>
        <w:tc>
          <w:tcPr>
            <w:tcW w:w="714" w:type="pct"/>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2210DD">
            <w:pPr>
              <w:pStyle w:val="a8"/>
            </w:pP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最小值</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 xml:space="preserve">-25.90 ppb </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 xml:space="preserve">-21.00 ppb </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 xml:space="preserve">-4.20 ppb </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 xml:space="preserve">-39.90 ppb </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 xml:space="preserve">-1.23 ppm </w:t>
            </w:r>
          </w:p>
        </w:tc>
      </w:tr>
      <w:tr w:rsidR="002210DD">
        <w:trPr>
          <w:trHeight w:val="300"/>
        </w:trPr>
        <w:tc>
          <w:tcPr>
            <w:tcW w:w="714" w:type="pct"/>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2210DD">
            <w:pPr>
              <w:pStyle w:val="a8"/>
            </w:pP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最大值</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 xml:space="preserve">11.20 ppb </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 xml:space="preserve">2.80 ppb </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 xml:space="preserve">-4.20 ppb </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 xml:space="preserve">1.23 ppb </w:t>
            </w:r>
          </w:p>
        </w:tc>
        <w:tc>
          <w:tcPr>
            <w:tcW w:w="11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 xml:space="preserve">0.09 ppm </w:t>
            </w:r>
          </w:p>
        </w:tc>
      </w:tr>
      <w:tr w:rsidR="002210DD">
        <w:trPr>
          <w:trHeight w:val="300"/>
        </w:trPr>
        <w:tc>
          <w:tcPr>
            <w:tcW w:w="142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rPr>
                <w:rFonts w:hint="eastAsia"/>
              </w:rPr>
              <w:t>本规范</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≤10 ppb</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≤10 ppb</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≤10 ppb</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≤10 ppb</w:t>
            </w:r>
          </w:p>
        </w:tc>
        <w:tc>
          <w:tcPr>
            <w:tcW w:w="119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 ppm</w:t>
            </w:r>
          </w:p>
        </w:tc>
      </w:tr>
    </w:tbl>
    <w:p w:rsidR="002210DD" w:rsidRDefault="00A205B8">
      <w:pPr>
        <w:pStyle w:val="3"/>
      </w:pPr>
      <w:r>
        <w:t xml:space="preserve"> 24h 80%</w:t>
      </w:r>
      <w:r>
        <w:t>量程漂移</w:t>
      </w:r>
    </w:p>
    <w:p w:rsidR="002210DD" w:rsidRDefault="00A205B8">
      <w:pPr>
        <w:tabs>
          <w:tab w:val="left" w:pos="420"/>
        </w:tabs>
        <w:ind w:firstLine="480"/>
      </w:pPr>
      <w:r>
        <w:t>SO</w:t>
      </w:r>
      <w:r>
        <w:rPr>
          <w:vertAlign w:val="subscript"/>
        </w:rPr>
        <w:t>2</w:t>
      </w:r>
      <w:r>
        <w:t>、</w:t>
      </w:r>
      <w:r>
        <w:t>NO</w:t>
      </w:r>
      <w:r>
        <w:rPr>
          <w:vertAlign w:val="subscript"/>
        </w:rPr>
        <w:t>2</w:t>
      </w:r>
      <w:r>
        <w:t>、</w:t>
      </w:r>
      <w:r>
        <w:t>NO</w:t>
      </w:r>
      <w:r>
        <w:t>、</w:t>
      </w:r>
      <w:r>
        <w:t>O</w:t>
      </w:r>
      <w:r>
        <w:rPr>
          <w:vertAlign w:val="subscript"/>
        </w:rPr>
        <w:t>3</w:t>
      </w:r>
      <w:r>
        <w:rPr>
          <w:rFonts w:hint="eastAsia"/>
        </w:rPr>
        <w:t>在</w:t>
      </w:r>
      <w:r>
        <w:rPr>
          <w:rFonts w:hint="eastAsia"/>
        </w:rPr>
        <w:t>0~100 nmol/mol</w:t>
      </w:r>
      <w:r>
        <w:rPr>
          <w:rFonts w:hint="eastAsia"/>
        </w:rPr>
        <w:t>范围的</w:t>
      </w:r>
      <w:r>
        <w:t>24h 80%</w:t>
      </w:r>
      <w:r>
        <w:t>量程漂移：</w:t>
      </w:r>
      <w:r>
        <w:t>±10</w:t>
      </w:r>
      <w:r>
        <w:rPr>
          <w:rFonts w:hint="eastAsia"/>
        </w:rPr>
        <w:t xml:space="preserve"> nmol/mol</w:t>
      </w:r>
      <w:r>
        <w:t>；</w:t>
      </w:r>
    </w:p>
    <w:p w:rsidR="002210DD" w:rsidRDefault="00A205B8">
      <w:pPr>
        <w:tabs>
          <w:tab w:val="left" w:pos="420"/>
        </w:tabs>
        <w:ind w:firstLine="480"/>
      </w:pPr>
      <w:r>
        <w:lastRenderedPageBreak/>
        <w:t>SO</w:t>
      </w:r>
      <w:r>
        <w:rPr>
          <w:vertAlign w:val="subscript"/>
        </w:rPr>
        <w:t>2</w:t>
      </w:r>
      <w:r>
        <w:t>、</w:t>
      </w:r>
      <w:r>
        <w:t>NO</w:t>
      </w:r>
      <w:r>
        <w:rPr>
          <w:vertAlign w:val="subscript"/>
        </w:rPr>
        <w:t>2</w:t>
      </w:r>
      <w:r>
        <w:t>、</w:t>
      </w:r>
      <w:r>
        <w:t>NO</w:t>
      </w:r>
      <w:r>
        <w:t>、</w:t>
      </w:r>
      <w:r>
        <w:t>O</w:t>
      </w:r>
      <w:r>
        <w:rPr>
          <w:vertAlign w:val="subscript"/>
        </w:rPr>
        <w:t>3</w:t>
      </w:r>
      <w:r>
        <w:rPr>
          <w:rFonts w:hint="eastAsia"/>
        </w:rPr>
        <w:t>在</w:t>
      </w:r>
      <w:r>
        <w:rPr>
          <w:rFonts w:hint="eastAsia"/>
        </w:rPr>
        <w:t>100 nmol/mol</w:t>
      </w:r>
      <w:r>
        <w:rPr>
          <w:rFonts w:hint="eastAsia"/>
        </w:rPr>
        <w:t>以上范围的</w:t>
      </w:r>
      <w:r>
        <w:t>24h 80%</w:t>
      </w:r>
      <w:r>
        <w:t>量程漂移：</w:t>
      </w:r>
      <w:r>
        <w:t>±10</w:t>
      </w:r>
      <w:r>
        <w:rPr>
          <w:rFonts w:hint="eastAsia"/>
        </w:rPr>
        <w:t>%</w:t>
      </w:r>
      <w:r>
        <w:t>；</w:t>
      </w:r>
    </w:p>
    <w:p w:rsidR="002210DD" w:rsidRDefault="00A205B8">
      <w:pPr>
        <w:tabs>
          <w:tab w:val="left" w:pos="420"/>
        </w:tabs>
        <w:ind w:firstLine="480"/>
      </w:pPr>
      <w:r>
        <w:rPr>
          <w:rFonts w:hint="eastAsia"/>
        </w:rPr>
        <w:t>C</w:t>
      </w:r>
      <w:r>
        <w:t>O</w:t>
      </w:r>
      <w:r>
        <w:rPr>
          <w:rFonts w:hint="eastAsia"/>
        </w:rPr>
        <w:t>在</w:t>
      </w:r>
      <w:r>
        <w:rPr>
          <w:rFonts w:hint="eastAsia"/>
        </w:rPr>
        <w:t>0~</w:t>
      </w:r>
      <w:r>
        <w:t>10</w:t>
      </w:r>
      <w:r>
        <w:rPr>
          <w:rFonts w:hint="eastAsia"/>
        </w:rPr>
        <w:t xml:space="preserve"> </w:t>
      </w:r>
      <w:r>
        <w:t>μ</w:t>
      </w:r>
      <w:r>
        <w:rPr>
          <w:rFonts w:hint="eastAsia"/>
        </w:rPr>
        <w:t>mol/mol</w:t>
      </w:r>
      <w:r>
        <w:rPr>
          <w:rFonts w:hint="eastAsia"/>
        </w:rPr>
        <w:t>范围的</w:t>
      </w:r>
      <w:r>
        <w:t>24h 80%</w:t>
      </w:r>
      <w:r>
        <w:t>量程漂移：</w:t>
      </w:r>
      <w:r>
        <w:t>±1</w:t>
      </w:r>
      <w:r>
        <w:rPr>
          <w:rFonts w:hint="eastAsia"/>
        </w:rPr>
        <w:t xml:space="preserve"> </w:t>
      </w:r>
      <w:r>
        <w:t>μ</w:t>
      </w:r>
      <w:r>
        <w:rPr>
          <w:rFonts w:hint="eastAsia"/>
        </w:rPr>
        <w:t>mol/mol</w:t>
      </w:r>
      <w:r>
        <w:t>；</w:t>
      </w:r>
    </w:p>
    <w:p w:rsidR="002210DD" w:rsidRDefault="00A205B8">
      <w:pPr>
        <w:tabs>
          <w:tab w:val="left" w:pos="420"/>
        </w:tabs>
        <w:ind w:firstLine="480"/>
      </w:pPr>
      <w:r>
        <w:rPr>
          <w:rFonts w:hint="eastAsia"/>
        </w:rPr>
        <w:t>C</w:t>
      </w:r>
      <w:r>
        <w:t>O</w:t>
      </w:r>
      <w:r>
        <w:rPr>
          <w:rFonts w:hint="eastAsia"/>
        </w:rPr>
        <w:t>在</w:t>
      </w:r>
      <w:r>
        <w:t>10</w:t>
      </w:r>
      <w:r>
        <w:rPr>
          <w:rFonts w:hint="eastAsia"/>
        </w:rPr>
        <w:t xml:space="preserve"> </w:t>
      </w:r>
      <w:r>
        <w:t>μ</w:t>
      </w:r>
      <w:r>
        <w:rPr>
          <w:rFonts w:hint="eastAsia"/>
        </w:rPr>
        <w:t>mol/mol</w:t>
      </w:r>
      <w:r>
        <w:rPr>
          <w:rFonts w:hint="eastAsia"/>
        </w:rPr>
        <w:t>以上范围的</w:t>
      </w:r>
      <w:r>
        <w:t>24h 80%</w:t>
      </w:r>
      <w:r>
        <w:t>量程漂移：</w:t>
      </w:r>
      <w:r>
        <w:t>±10</w:t>
      </w:r>
      <w:r>
        <w:rPr>
          <w:rFonts w:hint="eastAsia"/>
        </w:rPr>
        <w:t>%</w:t>
      </w:r>
      <w:r>
        <w:rPr>
          <w:rFonts w:hint="eastAsia"/>
        </w:rPr>
        <w:t>。</w:t>
      </w:r>
    </w:p>
    <w:p w:rsidR="002210DD" w:rsidRDefault="00A205B8">
      <w:pPr>
        <w:ind w:firstLineChars="0" w:firstLine="0"/>
        <w:jc w:val="center"/>
      </w:pPr>
      <w:r>
        <w:rPr>
          <w:noProof/>
        </w:rPr>
        <w:drawing>
          <wp:inline distT="0" distB="0" distL="114300" distR="114300">
            <wp:extent cx="2592070" cy="1771015"/>
            <wp:effectExtent l="0" t="0" r="11430" b="6985"/>
            <wp:docPr id="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pic:cNvPicPr>
                      <a:picLocks noChangeAspect="1"/>
                    </pic:cNvPicPr>
                  </pic:nvPicPr>
                  <pic:blipFill>
                    <a:blip r:embed="rId24"/>
                    <a:stretch>
                      <a:fillRect/>
                    </a:stretch>
                  </pic:blipFill>
                  <pic:spPr>
                    <a:xfrm>
                      <a:off x="0" y="0"/>
                      <a:ext cx="2592070" cy="1771015"/>
                    </a:xfrm>
                    <a:prstGeom prst="rect">
                      <a:avLst/>
                    </a:prstGeom>
                    <a:noFill/>
                    <a:ln>
                      <a:noFill/>
                    </a:ln>
                  </pic:spPr>
                </pic:pic>
              </a:graphicData>
            </a:graphic>
          </wp:inline>
        </w:drawing>
      </w:r>
      <w:r>
        <w:rPr>
          <w:noProof/>
        </w:rPr>
        <w:drawing>
          <wp:inline distT="0" distB="0" distL="114300" distR="114300">
            <wp:extent cx="2592070" cy="1768475"/>
            <wp:effectExtent l="0" t="0" r="11430" b="9525"/>
            <wp:docPr id="2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pic:cNvPicPr>
                      <a:picLocks noChangeAspect="1"/>
                    </pic:cNvPicPr>
                  </pic:nvPicPr>
                  <pic:blipFill>
                    <a:blip r:embed="rId25"/>
                    <a:stretch>
                      <a:fillRect/>
                    </a:stretch>
                  </pic:blipFill>
                  <pic:spPr>
                    <a:xfrm>
                      <a:off x="0" y="0"/>
                      <a:ext cx="2592070" cy="1768475"/>
                    </a:xfrm>
                    <a:prstGeom prst="rect">
                      <a:avLst/>
                    </a:prstGeom>
                    <a:noFill/>
                    <a:ln>
                      <a:noFill/>
                    </a:ln>
                  </pic:spPr>
                </pic:pic>
              </a:graphicData>
            </a:graphic>
          </wp:inline>
        </w:drawing>
      </w:r>
      <w:r>
        <w:rPr>
          <w:noProof/>
        </w:rPr>
        <w:drawing>
          <wp:inline distT="0" distB="0" distL="114300" distR="114300">
            <wp:extent cx="2592070" cy="1771015"/>
            <wp:effectExtent l="0" t="0" r="11430" b="6985"/>
            <wp:docPr id="2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pic:cNvPicPr>
                      <a:picLocks noChangeAspect="1"/>
                    </pic:cNvPicPr>
                  </pic:nvPicPr>
                  <pic:blipFill>
                    <a:blip r:embed="rId26"/>
                    <a:stretch>
                      <a:fillRect/>
                    </a:stretch>
                  </pic:blipFill>
                  <pic:spPr>
                    <a:xfrm>
                      <a:off x="0" y="0"/>
                      <a:ext cx="2592070" cy="1771015"/>
                    </a:xfrm>
                    <a:prstGeom prst="rect">
                      <a:avLst/>
                    </a:prstGeom>
                    <a:noFill/>
                    <a:ln>
                      <a:noFill/>
                    </a:ln>
                  </pic:spPr>
                </pic:pic>
              </a:graphicData>
            </a:graphic>
          </wp:inline>
        </w:drawing>
      </w:r>
      <w:r>
        <w:rPr>
          <w:noProof/>
        </w:rPr>
        <w:drawing>
          <wp:inline distT="0" distB="0" distL="114300" distR="114300">
            <wp:extent cx="2592070" cy="1771015"/>
            <wp:effectExtent l="0" t="0" r="11430" b="698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27"/>
                    <a:stretch>
                      <a:fillRect/>
                    </a:stretch>
                  </pic:blipFill>
                  <pic:spPr>
                    <a:xfrm>
                      <a:off x="0" y="0"/>
                      <a:ext cx="2592070" cy="1771015"/>
                    </a:xfrm>
                    <a:prstGeom prst="rect">
                      <a:avLst/>
                    </a:prstGeom>
                    <a:noFill/>
                    <a:ln>
                      <a:noFill/>
                    </a:ln>
                  </pic:spPr>
                </pic:pic>
              </a:graphicData>
            </a:graphic>
          </wp:inline>
        </w:drawing>
      </w:r>
    </w:p>
    <w:p w:rsidR="002210DD" w:rsidRDefault="00A205B8">
      <w:pPr>
        <w:spacing w:afterLines="50" w:after="156"/>
        <w:ind w:firstLineChars="0" w:firstLine="0"/>
        <w:jc w:val="center"/>
        <w:rPr>
          <w:b/>
          <w:sz w:val="21"/>
        </w:rPr>
      </w:pPr>
      <w:r>
        <w:rPr>
          <w:b/>
          <w:sz w:val="21"/>
        </w:rPr>
        <w:t>图</w:t>
      </w:r>
      <w:r>
        <w:rPr>
          <w:b/>
          <w:sz w:val="21"/>
        </w:rPr>
        <w:t>5.5-5  24h 80%</w:t>
      </w:r>
      <w:r>
        <w:rPr>
          <w:b/>
          <w:sz w:val="21"/>
        </w:rPr>
        <w:t>量程漂移</w:t>
      </w:r>
      <w:r>
        <w:rPr>
          <w:rFonts w:hint="eastAsia"/>
          <w:b/>
          <w:sz w:val="21"/>
        </w:rPr>
        <w:t>比对测试结果</w:t>
      </w:r>
    </w:p>
    <w:p w:rsidR="002210DD" w:rsidRDefault="00A205B8">
      <w:pPr>
        <w:spacing w:afterLines="50" w:after="156"/>
        <w:ind w:firstLineChars="0" w:firstLine="0"/>
        <w:jc w:val="center"/>
        <w:rPr>
          <w:bCs/>
          <w:sz w:val="21"/>
        </w:rPr>
      </w:pPr>
      <w:r>
        <w:rPr>
          <w:bCs/>
          <w:sz w:val="21"/>
        </w:rPr>
        <w:t>（注：图中</w:t>
      </w:r>
      <w:r>
        <w:rPr>
          <w:rFonts w:hint="eastAsia"/>
          <w:bCs/>
          <w:sz w:val="21"/>
        </w:rPr>
        <w:t>比对测试结果</w:t>
      </w:r>
      <w:r>
        <w:rPr>
          <w:bCs/>
          <w:sz w:val="21"/>
        </w:rPr>
        <w:t>数据全部以绝对值表示。）</w:t>
      </w:r>
    </w:p>
    <w:p w:rsidR="002210DD" w:rsidRDefault="00A205B8">
      <w:pPr>
        <w:ind w:firstLine="480"/>
      </w:pPr>
      <w:r>
        <w:t>统计国内</w:t>
      </w:r>
      <w:r>
        <w:t>10</w:t>
      </w:r>
      <w:r>
        <w:t>余家生产厂家的监测单元，综合考虑大多数设备的情况，拟定出传感器法自动监测系统设备</w:t>
      </w:r>
      <w:r>
        <w:t>SO</w:t>
      </w:r>
      <w:r>
        <w:rPr>
          <w:vertAlign w:val="subscript"/>
        </w:rPr>
        <w:t>2</w:t>
      </w:r>
      <w:r>
        <w:t>、</w:t>
      </w:r>
      <w:r>
        <w:t>NO</w:t>
      </w:r>
      <w:r>
        <w:rPr>
          <w:vertAlign w:val="subscript"/>
        </w:rPr>
        <w:t>2</w:t>
      </w:r>
      <w:r>
        <w:t>、</w:t>
      </w:r>
      <w:r>
        <w:t>NO</w:t>
      </w:r>
      <w:r>
        <w:t>、</w:t>
      </w:r>
      <w:r>
        <w:t>O</w:t>
      </w:r>
      <w:r>
        <w:rPr>
          <w:vertAlign w:val="subscript"/>
        </w:rPr>
        <w:t>3</w:t>
      </w:r>
      <w:r>
        <w:rPr>
          <w:rFonts w:hint="eastAsia"/>
        </w:rPr>
        <w:t>、</w:t>
      </w:r>
      <w:r>
        <w:t>CO</w:t>
      </w:r>
      <w:r>
        <w:t>的</w:t>
      </w:r>
      <w:r>
        <w:t>24h 80%</w:t>
      </w:r>
      <w:r>
        <w:t>量程漂移</w:t>
      </w:r>
      <w:r>
        <w:rPr>
          <w:rFonts w:hint="eastAsia"/>
        </w:rPr>
        <w:t>在高浓度范围内</w:t>
      </w:r>
      <w:r>
        <w:t>不大于</w:t>
      </w:r>
      <w:r>
        <w:t>±10 %</w:t>
      </w:r>
      <w:r>
        <w:t>，较国标</w:t>
      </w:r>
      <w:r>
        <w:t>HJ654</w:t>
      </w:r>
      <w:r>
        <w:t>更宽松；在低浓度范围与国标要求一致。</w:t>
      </w:r>
    </w:p>
    <w:p w:rsidR="002210DD" w:rsidRDefault="00A205B8">
      <w:pPr>
        <w:spacing w:beforeLines="50" w:before="156"/>
        <w:ind w:firstLineChars="0" w:firstLine="0"/>
        <w:jc w:val="center"/>
        <w:rPr>
          <w:b/>
          <w:sz w:val="21"/>
        </w:rPr>
      </w:pPr>
      <w:r>
        <w:rPr>
          <w:b/>
          <w:sz w:val="21"/>
        </w:rPr>
        <w:t>表</w:t>
      </w:r>
      <w:r>
        <w:rPr>
          <w:b/>
          <w:sz w:val="21"/>
        </w:rPr>
        <w:t>5.5-7  24h 80%</w:t>
      </w:r>
      <w:r>
        <w:rPr>
          <w:b/>
          <w:sz w:val="21"/>
        </w:rPr>
        <w:t>量程漂移对比</w:t>
      </w:r>
    </w:p>
    <w:tbl>
      <w:tblPr>
        <w:tblW w:w="4997" w:type="pct"/>
        <w:tblCellMar>
          <w:left w:w="0" w:type="dxa"/>
          <w:right w:w="0" w:type="dxa"/>
        </w:tblCellMar>
        <w:tblLook w:val="04A0" w:firstRow="1" w:lastRow="0" w:firstColumn="1" w:lastColumn="0" w:noHBand="0" w:noVBand="1"/>
      </w:tblPr>
      <w:tblGrid>
        <w:gridCol w:w="1183"/>
        <w:gridCol w:w="1188"/>
        <w:gridCol w:w="1184"/>
        <w:gridCol w:w="1184"/>
        <w:gridCol w:w="1184"/>
        <w:gridCol w:w="1184"/>
        <w:gridCol w:w="1184"/>
      </w:tblGrid>
      <w:tr w:rsidR="002210DD">
        <w:trPr>
          <w:trHeight w:val="345"/>
        </w:trPr>
        <w:tc>
          <w:tcPr>
            <w:tcW w:w="142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指南名称</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SO</w:t>
            </w:r>
            <w:r>
              <w:rPr>
                <w:vertAlign w:val="subscript"/>
              </w:rPr>
              <w:t>2</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NO</w:t>
            </w:r>
            <w:r>
              <w:rPr>
                <w:vertAlign w:val="subscript"/>
              </w:rPr>
              <w:t>2</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NO</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O</w:t>
            </w:r>
            <w:r>
              <w:rPr>
                <w:vertAlign w:val="subscript"/>
              </w:rPr>
              <w:t>3</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CO</w:t>
            </w:r>
          </w:p>
        </w:tc>
      </w:tr>
      <w:tr w:rsidR="002210DD">
        <w:trPr>
          <w:trHeight w:val="300"/>
        </w:trPr>
        <w:tc>
          <w:tcPr>
            <w:tcW w:w="142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国标</w:t>
            </w:r>
            <w:r>
              <w:t>HJ654</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±10 ppb</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±10 ppb</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±10 ppb</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 ppm</w:t>
            </w:r>
          </w:p>
        </w:tc>
      </w:tr>
      <w:tr w:rsidR="002210DD">
        <w:trPr>
          <w:trHeight w:val="300"/>
        </w:trPr>
        <w:tc>
          <w:tcPr>
            <w:tcW w:w="142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proofErr w:type="gramStart"/>
            <w:r>
              <w:t>环办监测</w:t>
            </w:r>
            <w:proofErr w:type="gramEnd"/>
            <w:r>
              <w:t>函</w:t>
            </w:r>
            <w:r>
              <w:t>[2017] 2027</w:t>
            </w:r>
            <w:r>
              <w:t>号</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w:t>
            </w:r>
          </w:p>
        </w:tc>
      </w:tr>
      <w:tr w:rsidR="002210DD">
        <w:trPr>
          <w:trHeight w:val="300"/>
        </w:trPr>
        <w:tc>
          <w:tcPr>
            <w:tcW w:w="142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地标</w:t>
            </w:r>
            <w:r>
              <w:t>DB13/T2544</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±10%</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±10%</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±10%</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±5%</w:t>
            </w:r>
          </w:p>
        </w:tc>
      </w:tr>
      <w:tr w:rsidR="002210DD">
        <w:trPr>
          <w:trHeight w:val="300"/>
        </w:trPr>
        <w:tc>
          <w:tcPr>
            <w:tcW w:w="713" w:type="pct"/>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rPr>
                <w:rFonts w:hint="eastAsia"/>
              </w:rPr>
              <w:t>比对测试结果</w:t>
            </w:r>
          </w:p>
        </w:tc>
        <w:tc>
          <w:tcPr>
            <w:tcW w:w="71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平均值</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3%</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2%</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3%</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-2%</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-5%</w:t>
            </w:r>
          </w:p>
        </w:tc>
      </w:tr>
      <w:tr w:rsidR="002210DD">
        <w:trPr>
          <w:trHeight w:val="300"/>
        </w:trPr>
        <w:tc>
          <w:tcPr>
            <w:tcW w:w="713" w:type="pct"/>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2210DD">
            <w:pPr>
              <w:pStyle w:val="a8"/>
            </w:pPr>
          </w:p>
        </w:tc>
        <w:tc>
          <w:tcPr>
            <w:tcW w:w="71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最小值</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-8%</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-26%</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3%</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-20%</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-14%</w:t>
            </w:r>
          </w:p>
        </w:tc>
      </w:tr>
      <w:tr w:rsidR="002210DD">
        <w:trPr>
          <w:trHeight w:val="300"/>
        </w:trPr>
        <w:tc>
          <w:tcPr>
            <w:tcW w:w="713" w:type="pct"/>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2210DD">
            <w:pPr>
              <w:pStyle w:val="a8"/>
            </w:pPr>
          </w:p>
        </w:tc>
        <w:tc>
          <w:tcPr>
            <w:tcW w:w="71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t>最大值</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14%</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23%</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3%</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9%</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2210DD" w:rsidRDefault="00A205B8">
            <w:pPr>
              <w:pStyle w:val="a8"/>
            </w:pPr>
            <w:r>
              <w:t>3%</w:t>
            </w:r>
          </w:p>
        </w:tc>
      </w:tr>
      <w:tr w:rsidR="002210DD">
        <w:trPr>
          <w:trHeight w:val="300"/>
        </w:trPr>
        <w:tc>
          <w:tcPr>
            <w:tcW w:w="1429" w:type="pct"/>
            <w:gridSpan w:val="2"/>
            <w:vMerge w:val="restart"/>
            <w:tcBorders>
              <w:top w:val="single" w:sz="4" w:space="0" w:color="000000"/>
              <w:left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pPr>
            <w:r>
              <w:rPr>
                <w:rFonts w:hint="eastAsia"/>
              </w:rPr>
              <w:t>本规范</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rPr>
                <w:sz w:val="15"/>
                <w:szCs w:val="15"/>
              </w:rPr>
            </w:pPr>
            <w:r>
              <w:rPr>
                <w:sz w:val="15"/>
                <w:szCs w:val="15"/>
              </w:rPr>
              <w:t>±10 nmol/mol</w:t>
            </w:r>
            <w:r>
              <w:rPr>
                <w:sz w:val="15"/>
                <w:szCs w:val="15"/>
              </w:rPr>
              <w:lastRenderedPageBreak/>
              <w:t>（</w:t>
            </w:r>
            <w:r>
              <w:rPr>
                <w:sz w:val="15"/>
                <w:szCs w:val="15"/>
              </w:rPr>
              <w:t>0~100 nmol/mol</w:t>
            </w:r>
            <w:r>
              <w:rPr>
                <w:sz w:val="15"/>
                <w:szCs w:val="15"/>
              </w:rPr>
              <w:t>）</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rPr>
                <w:sz w:val="15"/>
                <w:szCs w:val="15"/>
              </w:rPr>
            </w:pPr>
            <w:r>
              <w:rPr>
                <w:sz w:val="15"/>
                <w:szCs w:val="15"/>
              </w:rPr>
              <w:lastRenderedPageBreak/>
              <w:t>±10 nmol/mol</w:t>
            </w:r>
            <w:r>
              <w:rPr>
                <w:sz w:val="15"/>
                <w:szCs w:val="15"/>
              </w:rPr>
              <w:lastRenderedPageBreak/>
              <w:t>（</w:t>
            </w:r>
            <w:r>
              <w:rPr>
                <w:sz w:val="15"/>
                <w:szCs w:val="15"/>
              </w:rPr>
              <w:t>0~100 nmol/mol</w:t>
            </w:r>
            <w:r>
              <w:rPr>
                <w:sz w:val="15"/>
                <w:szCs w:val="15"/>
              </w:rPr>
              <w:t>）</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rPr>
                <w:sz w:val="15"/>
                <w:szCs w:val="15"/>
              </w:rPr>
            </w:pPr>
            <w:r>
              <w:rPr>
                <w:sz w:val="15"/>
                <w:szCs w:val="15"/>
              </w:rPr>
              <w:lastRenderedPageBreak/>
              <w:t>±10 nmol/mol</w:t>
            </w:r>
            <w:r>
              <w:rPr>
                <w:sz w:val="15"/>
                <w:szCs w:val="15"/>
              </w:rPr>
              <w:lastRenderedPageBreak/>
              <w:t>（</w:t>
            </w:r>
            <w:r>
              <w:rPr>
                <w:sz w:val="15"/>
                <w:szCs w:val="15"/>
              </w:rPr>
              <w:t>0~100 nmol/mol</w:t>
            </w:r>
            <w:r>
              <w:rPr>
                <w:sz w:val="15"/>
                <w:szCs w:val="15"/>
              </w:rPr>
              <w:t>）</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rPr>
                <w:sz w:val="15"/>
                <w:szCs w:val="15"/>
              </w:rPr>
            </w:pPr>
            <w:r>
              <w:rPr>
                <w:sz w:val="15"/>
                <w:szCs w:val="15"/>
              </w:rPr>
              <w:lastRenderedPageBreak/>
              <w:t>±10 nmol/mol</w:t>
            </w:r>
            <w:r>
              <w:rPr>
                <w:sz w:val="15"/>
                <w:szCs w:val="15"/>
              </w:rPr>
              <w:lastRenderedPageBreak/>
              <w:t>（</w:t>
            </w:r>
            <w:r>
              <w:rPr>
                <w:sz w:val="15"/>
                <w:szCs w:val="15"/>
              </w:rPr>
              <w:t>0~100 nmol/mol</w:t>
            </w:r>
            <w:r>
              <w:rPr>
                <w:sz w:val="15"/>
                <w:szCs w:val="15"/>
              </w:rPr>
              <w:t>）</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rPr>
                <w:sz w:val="15"/>
                <w:szCs w:val="15"/>
              </w:rPr>
            </w:pPr>
            <w:r>
              <w:rPr>
                <w:sz w:val="15"/>
                <w:szCs w:val="15"/>
              </w:rPr>
              <w:lastRenderedPageBreak/>
              <w:t>±1 μmol/mol</w:t>
            </w:r>
            <w:r>
              <w:rPr>
                <w:sz w:val="15"/>
                <w:szCs w:val="15"/>
              </w:rPr>
              <w:lastRenderedPageBreak/>
              <w:t>（</w:t>
            </w:r>
            <w:r>
              <w:rPr>
                <w:sz w:val="15"/>
                <w:szCs w:val="15"/>
              </w:rPr>
              <w:t>0~10 μmol/mol</w:t>
            </w:r>
            <w:r>
              <w:rPr>
                <w:sz w:val="15"/>
                <w:szCs w:val="15"/>
              </w:rPr>
              <w:t>）</w:t>
            </w:r>
          </w:p>
        </w:tc>
      </w:tr>
      <w:tr w:rsidR="002210DD">
        <w:trPr>
          <w:trHeight w:val="300"/>
        </w:trPr>
        <w:tc>
          <w:tcPr>
            <w:tcW w:w="1429" w:type="pct"/>
            <w:gridSpan w:val="2"/>
            <w:vMerge/>
            <w:tcBorders>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2210DD">
            <w:pPr>
              <w:pStyle w:val="a8"/>
            </w:pP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rPr>
                <w:sz w:val="15"/>
                <w:szCs w:val="15"/>
              </w:rPr>
            </w:pPr>
            <w:r>
              <w:rPr>
                <w:sz w:val="15"/>
                <w:szCs w:val="15"/>
              </w:rPr>
              <w:t>±10%</w:t>
            </w:r>
          </w:p>
          <w:p w:rsidR="002210DD" w:rsidRDefault="00A205B8">
            <w:pPr>
              <w:pStyle w:val="a8"/>
              <w:rPr>
                <w:sz w:val="15"/>
                <w:szCs w:val="15"/>
              </w:rPr>
            </w:pPr>
            <w:r>
              <w:rPr>
                <w:sz w:val="15"/>
                <w:szCs w:val="15"/>
              </w:rPr>
              <w:t>（</w:t>
            </w:r>
            <w:r>
              <w:rPr>
                <w:sz w:val="15"/>
                <w:szCs w:val="15"/>
              </w:rPr>
              <w:t>≥100 nmol/mol</w:t>
            </w:r>
            <w:r>
              <w:rPr>
                <w:sz w:val="15"/>
                <w:szCs w:val="15"/>
              </w:rPr>
              <w:t>）</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rPr>
                <w:sz w:val="15"/>
                <w:szCs w:val="15"/>
              </w:rPr>
            </w:pPr>
            <w:r>
              <w:rPr>
                <w:sz w:val="15"/>
                <w:szCs w:val="15"/>
              </w:rPr>
              <w:t>±10%</w:t>
            </w:r>
          </w:p>
          <w:p w:rsidR="002210DD" w:rsidRDefault="00A205B8">
            <w:pPr>
              <w:pStyle w:val="a8"/>
              <w:rPr>
                <w:sz w:val="15"/>
                <w:szCs w:val="15"/>
              </w:rPr>
            </w:pPr>
            <w:r>
              <w:rPr>
                <w:sz w:val="15"/>
                <w:szCs w:val="15"/>
              </w:rPr>
              <w:t>（</w:t>
            </w:r>
            <w:r>
              <w:rPr>
                <w:sz w:val="15"/>
                <w:szCs w:val="15"/>
              </w:rPr>
              <w:t>≥100 nmol/mol</w:t>
            </w:r>
            <w:r>
              <w:rPr>
                <w:sz w:val="15"/>
                <w:szCs w:val="15"/>
              </w:rPr>
              <w:t>）</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rPr>
                <w:sz w:val="15"/>
                <w:szCs w:val="15"/>
              </w:rPr>
            </w:pPr>
            <w:r>
              <w:rPr>
                <w:sz w:val="15"/>
                <w:szCs w:val="15"/>
              </w:rPr>
              <w:t>±10%</w:t>
            </w:r>
          </w:p>
          <w:p w:rsidR="002210DD" w:rsidRDefault="00A205B8">
            <w:pPr>
              <w:pStyle w:val="a8"/>
              <w:rPr>
                <w:sz w:val="15"/>
                <w:szCs w:val="15"/>
              </w:rPr>
            </w:pPr>
            <w:r>
              <w:rPr>
                <w:sz w:val="15"/>
                <w:szCs w:val="15"/>
              </w:rPr>
              <w:t>（</w:t>
            </w:r>
            <w:r>
              <w:rPr>
                <w:sz w:val="15"/>
                <w:szCs w:val="15"/>
              </w:rPr>
              <w:t>≥100 nmol/mol</w:t>
            </w:r>
            <w:r>
              <w:rPr>
                <w:sz w:val="15"/>
                <w:szCs w:val="15"/>
              </w:rPr>
              <w:t>）</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rPr>
                <w:sz w:val="15"/>
                <w:szCs w:val="15"/>
              </w:rPr>
            </w:pPr>
            <w:r>
              <w:rPr>
                <w:sz w:val="15"/>
                <w:szCs w:val="15"/>
              </w:rPr>
              <w:t>±10%</w:t>
            </w:r>
          </w:p>
          <w:p w:rsidR="002210DD" w:rsidRDefault="00A205B8">
            <w:pPr>
              <w:pStyle w:val="a8"/>
              <w:rPr>
                <w:sz w:val="15"/>
                <w:szCs w:val="15"/>
              </w:rPr>
            </w:pPr>
            <w:r>
              <w:rPr>
                <w:sz w:val="15"/>
                <w:szCs w:val="15"/>
              </w:rPr>
              <w:t>（</w:t>
            </w:r>
            <w:r>
              <w:rPr>
                <w:sz w:val="15"/>
                <w:szCs w:val="15"/>
              </w:rPr>
              <w:t>≥100 nmol/mol</w:t>
            </w:r>
            <w:r>
              <w:rPr>
                <w:sz w:val="15"/>
                <w:szCs w:val="15"/>
              </w:rPr>
              <w:t>）</w:t>
            </w:r>
          </w:p>
        </w:tc>
        <w:tc>
          <w:tcPr>
            <w:tcW w:w="71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2210DD" w:rsidRDefault="00A205B8">
            <w:pPr>
              <w:pStyle w:val="a8"/>
              <w:rPr>
                <w:sz w:val="15"/>
                <w:szCs w:val="15"/>
              </w:rPr>
            </w:pPr>
            <w:r>
              <w:rPr>
                <w:sz w:val="15"/>
                <w:szCs w:val="15"/>
              </w:rPr>
              <w:t>±10%</w:t>
            </w:r>
          </w:p>
          <w:p w:rsidR="002210DD" w:rsidRDefault="00A205B8">
            <w:pPr>
              <w:pStyle w:val="a8"/>
              <w:rPr>
                <w:sz w:val="15"/>
                <w:szCs w:val="15"/>
              </w:rPr>
            </w:pPr>
            <w:r>
              <w:rPr>
                <w:sz w:val="15"/>
                <w:szCs w:val="15"/>
              </w:rPr>
              <w:t>（</w:t>
            </w:r>
            <w:r>
              <w:rPr>
                <w:sz w:val="15"/>
                <w:szCs w:val="15"/>
              </w:rPr>
              <w:t>≥10 μmol/mol</w:t>
            </w:r>
            <w:r>
              <w:rPr>
                <w:sz w:val="15"/>
                <w:szCs w:val="15"/>
              </w:rPr>
              <w:t>）</w:t>
            </w:r>
          </w:p>
        </w:tc>
      </w:tr>
    </w:tbl>
    <w:p w:rsidR="002210DD" w:rsidRDefault="00A205B8">
      <w:pPr>
        <w:pStyle w:val="3"/>
      </w:pPr>
      <w:r>
        <w:t>响应时间（</w:t>
      </w:r>
      <w:r>
        <w:t>T90</w:t>
      </w:r>
      <w:r>
        <w:t>和</w:t>
      </w:r>
      <w:r>
        <w:t>T10</w:t>
      </w:r>
      <w:r>
        <w:t>）</w:t>
      </w:r>
    </w:p>
    <w:p w:rsidR="002210DD" w:rsidRDefault="00A205B8">
      <w:pPr>
        <w:tabs>
          <w:tab w:val="left" w:pos="420"/>
        </w:tabs>
        <w:ind w:firstLine="480"/>
      </w:pPr>
      <w:r>
        <w:t>SO</w:t>
      </w:r>
      <w:r>
        <w:rPr>
          <w:vertAlign w:val="subscript"/>
        </w:rPr>
        <w:t>2</w:t>
      </w:r>
      <w:r>
        <w:t>、</w:t>
      </w:r>
      <w:r>
        <w:t>NO</w:t>
      </w:r>
      <w:r>
        <w:rPr>
          <w:vertAlign w:val="subscript"/>
        </w:rPr>
        <w:t>2</w:t>
      </w:r>
      <w:r>
        <w:t>、</w:t>
      </w:r>
      <w:r>
        <w:t>NO</w:t>
      </w:r>
      <w:r>
        <w:t>、</w:t>
      </w:r>
      <w:r>
        <w:t>O</w:t>
      </w:r>
      <w:r>
        <w:rPr>
          <w:vertAlign w:val="subscript"/>
        </w:rPr>
        <w:t>3</w:t>
      </w:r>
      <w:r>
        <w:t>、</w:t>
      </w:r>
      <w:r>
        <w:t>CO</w:t>
      </w:r>
      <w:r>
        <w:t>的响应时间（上升时间</w:t>
      </w:r>
      <w:r>
        <w:t>/</w:t>
      </w:r>
      <w:r>
        <w:t>下降时间）：</w:t>
      </w:r>
      <w:r>
        <w:t>≤2 min</w:t>
      </w:r>
      <w:r>
        <w:t>。</w:t>
      </w:r>
    </w:p>
    <w:p w:rsidR="002210DD" w:rsidRDefault="00A205B8">
      <w:pPr>
        <w:spacing w:afterLines="50" w:after="156"/>
        <w:ind w:firstLineChars="0" w:firstLine="0"/>
        <w:jc w:val="center"/>
      </w:pPr>
      <w:r>
        <w:rPr>
          <w:noProof/>
        </w:rPr>
        <w:drawing>
          <wp:inline distT="0" distB="0" distL="114300" distR="114300">
            <wp:extent cx="2592070" cy="1632585"/>
            <wp:effectExtent l="0" t="0" r="11430" b="5715"/>
            <wp:docPr id="3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1"/>
                    <pic:cNvPicPr>
                      <a:picLocks noChangeAspect="1"/>
                    </pic:cNvPicPr>
                  </pic:nvPicPr>
                  <pic:blipFill>
                    <a:blip r:embed="rId28"/>
                    <a:stretch>
                      <a:fillRect/>
                    </a:stretch>
                  </pic:blipFill>
                  <pic:spPr>
                    <a:xfrm>
                      <a:off x="0" y="0"/>
                      <a:ext cx="2592070" cy="1632585"/>
                    </a:xfrm>
                    <a:prstGeom prst="rect">
                      <a:avLst/>
                    </a:prstGeom>
                    <a:noFill/>
                    <a:ln>
                      <a:noFill/>
                    </a:ln>
                  </pic:spPr>
                </pic:pic>
              </a:graphicData>
            </a:graphic>
          </wp:inline>
        </w:drawing>
      </w:r>
      <w:r>
        <w:rPr>
          <w:noProof/>
        </w:rPr>
        <w:drawing>
          <wp:inline distT="0" distB="0" distL="114300" distR="114300">
            <wp:extent cx="2592070" cy="1639570"/>
            <wp:effectExtent l="0" t="0" r="11430" b="11430"/>
            <wp:docPr id="3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2"/>
                    <pic:cNvPicPr>
                      <a:picLocks noChangeAspect="1"/>
                    </pic:cNvPicPr>
                  </pic:nvPicPr>
                  <pic:blipFill>
                    <a:blip r:embed="rId29"/>
                    <a:stretch>
                      <a:fillRect/>
                    </a:stretch>
                  </pic:blipFill>
                  <pic:spPr>
                    <a:xfrm>
                      <a:off x="0" y="0"/>
                      <a:ext cx="2592070" cy="1639570"/>
                    </a:xfrm>
                    <a:prstGeom prst="rect">
                      <a:avLst/>
                    </a:prstGeom>
                    <a:noFill/>
                    <a:ln>
                      <a:noFill/>
                    </a:ln>
                  </pic:spPr>
                </pic:pic>
              </a:graphicData>
            </a:graphic>
          </wp:inline>
        </w:drawing>
      </w:r>
      <w:r>
        <w:rPr>
          <w:noProof/>
        </w:rPr>
        <w:drawing>
          <wp:inline distT="0" distB="0" distL="114300" distR="114300">
            <wp:extent cx="2592070" cy="1632585"/>
            <wp:effectExtent l="0" t="0" r="11430" b="5715"/>
            <wp:docPr id="3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3"/>
                    <pic:cNvPicPr>
                      <a:picLocks noChangeAspect="1"/>
                    </pic:cNvPicPr>
                  </pic:nvPicPr>
                  <pic:blipFill>
                    <a:blip r:embed="rId30"/>
                    <a:stretch>
                      <a:fillRect/>
                    </a:stretch>
                  </pic:blipFill>
                  <pic:spPr>
                    <a:xfrm>
                      <a:off x="0" y="0"/>
                      <a:ext cx="2592070" cy="1632585"/>
                    </a:xfrm>
                    <a:prstGeom prst="rect">
                      <a:avLst/>
                    </a:prstGeom>
                    <a:noFill/>
                    <a:ln>
                      <a:noFill/>
                    </a:ln>
                  </pic:spPr>
                </pic:pic>
              </a:graphicData>
            </a:graphic>
          </wp:inline>
        </w:drawing>
      </w:r>
      <w:r>
        <w:rPr>
          <w:noProof/>
        </w:rPr>
        <w:drawing>
          <wp:inline distT="0" distB="0" distL="114300" distR="114300">
            <wp:extent cx="2592070" cy="1632585"/>
            <wp:effectExtent l="0" t="0" r="11430" b="5715"/>
            <wp:docPr id="4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4"/>
                    <pic:cNvPicPr>
                      <a:picLocks noChangeAspect="1"/>
                    </pic:cNvPicPr>
                  </pic:nvPicPr>
                  <pic:blipFill>
                    <a:blip r:embed="rId31"/>
                    <a:stretch>
                      <a:fillRect/>
                    </a:stretch>
                  </pic:blipFill>
                  <pic:spPr>
                    <a:xfrm>
                      <a:off x="0" y="0"/>
                      <a:ext cx="2592070" cy="1632585"/>
                    </a:xfrm>
                    <a:prstGeom prst="rect">
                      <a:avLst/>
                    </a:prstGeom>
                    <a:noFill/>
                    <a:ln>
                      <a:noFill/>
                    </a:ln>
                  </pic:spPr>
                </pic:pic>
              </a:graphicData>
            </a:graphic>
          </wp:inline>
        </w:drawing>
      </w:r>
    </w:p>
    <w:p w:rsidR="002210DD" w:rsidRDefault="00A205B8">
      <w:pPr>
        <w:spacing w:afterLines="50" w:after="156"/>
        <w:ind w:firstLineChars="0" w:firstLine="0"/>
        <w:jc w:val="center"/>
        <w:rPr>
          <w:b/>
          <w:sz w:val="21"/>
        </w:rPr>
      </w:pPr>
      <w:r>
        <w:rPr>
          <w:b/>
          <w:sz w:val="21"/>
        </w:rPr>
        <w:t>图</w:t>
      </w:r>
      <w:r>
        <w:rPr>
          <w:b/>
          <w:sz w:val="21"/>
        </w:rPr>
        <w:t xml:space="preserve">5.5-6  </w:t>
      </w:r>
      <w:r>
        <w:rPr>
          <w:b/>
          <w:sz w:val="21"/>
        </w:rPr>
        <w:t>响应时间</w:t>
      </w:r>
      <w:r>
        <w:rPr>
          <w:rFonts w:hint="eastAsia"/>
          <w:b/>
          <w:sz w:val="21"/>
        </w:rPr>
        <w:t>比对测试结果</w:t>
      </w:r>
    </w:p>
    <w:p w:rsidR="002210DD" w:rsidRDefault="00A205B8">
      <w:pPr>
        <w:ind w:firstLine="480"/>
      </w:pPr>
      <w:r>
        <w:t>空气气态污染物传感器法监测设备在采样气路设计上主要有三种工作方式，分别是泵吸式采样设备、引风式采样设备、扩散式采样设备，泵吸式采样设备是仪器配置了一个小型气泵，通过电源带动气泵对待</w:t>
      </w:r>
      <w:proofErr w:type="gramStart"/>
      <w:r>
        <w:t>测区域</w:t>
      </w:r>
      <w:proofErr w:type="gramEnd"/>
      <w:r>
        <w:t>的气体进行抽气采样，然后</w:t>
      </w:r>
      <w:proofErr w:type="gramStart"/>
      <w:r>
        <w:t>将样气</w:t>
      </w:r>
      <w:proofErr w:type="gramEnd"/>
      <w:r>
        <w:t>送进传感器模块进行检测，泵吸式设备中监测不同气体的传感器均是相互独立互补干扰的，可以降低气体之间的交叉干扰，提高设备检测结果的准确性。实际比对结果也显示，泵吸式、引风式等主动采样</w:t>
      </w:r>
      <w:proofErr w:type="gramStart"/>
      <w:r>
        <w:t>式设备</w:t>
      </w:r>
      <w:proofErr w:type="gramEnd"/>
      <w:r>
        <w:t>在响应时间和准确性方面相对扩散式气路设计的采样设备表现更为突出。</w:t>
      </w:r>
    </w:p>
    <w:p w:rsidR="002210DD" w:rsidRDefault="00A205B8">
      <w:pPr>
        <w:spacing w:beforeLines="50" w:before="156"/>
        <w:ind w:firstLineChars="0" w:firstLine="0"/>
        <w:jc w:val="center"/>
        <w:rPr>
          <w:b/>
          <w:sz w:val="21"/>
        </w:rPr>
      </w:pPr>
      <w:r>
        <w:rPr>
          <w:b/>
          <w:sz w:val="21"/>
        </w:rPr>
        <w:t>表</w:t>
      </w:r>
      <w:r>
        <w:rPr>
          <w:b/>
          <w:sz w:val="21"/>
        </w:rPr>
        <w:t>5.</w:t>
      </w:r>
      <w:r>
        <w:rPr>
          <w:rFonts w:hint="eastAsia"/>
          <w:b/>
          <w:sz w:val="21"/>
        </w:rPr>
        <w:t>5</w:t>
      </w:r>
      <w:r>
        <w:rPr>
          <w:b/>
          <w:sz w:val="21"/>
        </w:rPr>
        <w:t>-</w:t>
      </w:r>
      <w:r>
        <w:rPr>
          <w:rFonts w:hint="eastAsia"/>
          <w:b/>
          <w:sz w:val="21"/>
        </w:rPr>
        <w:t>8</w:t>
      </w:r>
      <w:r>
        <w:rPr>
          <w:b/>
          <w:sz w:val="21"/>
        </w:rPr>
        <w:t xml:space="preserve">  </w:t>
      </w:r>
      <w:r>
        <w:rPr>
          <w:b/>
          <w:sz w:val="21"/>
        </w:rPr>
        <w:t>不同气路设计监测设备的响应时间比对</w:t>
      </w:r>
    </w:p>
    <w:tbl>
      <w:tblPr>
        <w:tblW w:w="8440" w:type="dxa"/>
        <w:tblInd w:w="-17" w:type="dxa"/>
        <w:tblLayout w:type="fixed"/>
        <w:tblCellMar>
          <w:left w:w="0" w:type="dxa"/>
          <w:right w:w="0" w:type="dxa"/>
        </w:tblCellMar>
        <w:tblLook w:val="04A0" w:firstRow="1" w:lastRow="0" w:firstColumn="1" w:lastColumn="0" w:noHBand="0" w:noVBand="1"/>
      </w:tblPr>
      <w:tblGrid>
        <w:gridCol w:w="2155"/>
        <w:gridCol w:w="1571"/>
        <w:gridCol w:w="1571"/>
        <w:gridCol w:w="1571"/>
        <w:gridCol w:w="1572"/>
      </w:tblGrid>
      <w:tr w:rsidR="002210DD">
        <w:trPr>
          <w:trHeight w:val="288"/>
        </w:trPr>
        <w:tc>
          <w:tcPr>
            <w:tcW w:w="2155"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b/>
                <w:bCs/>
                <w:sz w:val="21"/>
              </w:rPr>
            </w:pPr>
            <w:r>
              <w:rPr>
                <w:b/>
                <w:bCs/>
                <w:sz w:val="21"/>
              </w:rPr>
              <w:t>气路设计</w:t>
            </w:r>
          </w:p>
        </w:tc>
        <w:tc>
          <w:tcPr>
            <w:tcW w:w="1571"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b/>
                <w:bCs/>
                <w:sz w:val="21"/>
              </w:rPr>
            </w:pPr>
            <w:r>
              <w:rPr>
                <w:b/>
                <w:bCs/>
                <w:sz w:val="21"/>
              </w:rPr>
              <w:t>SO</w:t>
            </w:r>
            <w:r>
              <w:rPr>
                <w:b/>
                <w:bCs/>
                <w:sz w:val="21"/>
                <w:vertAlign w:val="subscript"/>
              </w:rPr>
              <w:t>2</w:t>
            </w:r>
          </w:p>
        </w:tc>
        <w:tc>
          <w:tcPr>
            <w:tcW w:w="1571"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b/>
                <w:bCs/>
                <w:sz w:val="21"/>
              </w:rPr>
            </w:pPr>
            <w:r>
              <w:rPr>
                <w:b/>
                <w:bCs/>
                <w:sz w:val="21"/>
              </w:rPr>
              <w:t>NO</w:t>
            </w:r>
            <w:r>
              <w:rPr>
                <w:b/>
                <w:bCs/>
                <w:sz w:val="21"/>
                <w:vertAlign w:val="subscript"/>
              </w:rPr>
              <w:t>2</w:t>
            </w:r>
          </w:p>
        </w:tc>
        <w:tc>
          <w:tcPr>
            <w:tcW w:w="1571"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b/>
                <w:bCs/>
                <w:sz w:val="21"/>
              </w:rPr>
            </w:pPr>
            <w:r>
              <w:rPr>
                <w:b/>
                <w:bCs/>
                <w:sz w:val="21"/>
              </w:rPr>
              <w:t>O</w:t>
            </w:r>
            <w:r>
              <w:rPr>
                <w:b/>
                <w:bCs/>
                <w:sz w:val="21"/>
                <w:vertAlign w:val="subscript"/>
              </w:rPr>
              <w:t>3</w:t>
            </w:r>
          </w:p>
        </w:tc>
        <w:tc>
          <w:tcPr>
            <w:tcW w:w="1572"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b/>
                <w:bCs/>
                <w:sz w:val="21"/>
              </w:rPr>
            </w:pPr>
            <w:r>
              <w:rPr>
                <w:b/>
                <w:bCs/>
                <w:sz w:val="21"/>
              </w:rPr>
              <w:t>CO</w:t>
            </w:r>
          </w:p>
        </w:tc>
      </w:tr>
      <w:tr w:rsidR="002210DD">
        <w:trPr>
          <w:trHeight w:val="44"/>
        </w:trPr>
        <w:tc>
          <w:tcPr>
            <w:tcW w:w="2155"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lastRenderedPageBreak/>
              <w:t>泵吸式</w:t>
            </w:r>
          </w:p>
        </w:tc>
        <w:tc>
          <w:tcPr>
            <w:tcW w:w="1571"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t>1~6 min</w:t>
            </w:r>
          </w:p>
        </w:tc>
        <w:tc>
          <w:tcPr>
            <w:tcW w:w="1571"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t>1.5~6 min</w:t>
            </w:r>
          </w:p>
        </w:tc>
        <w:tc>
          <w:tcPr>
            <w:tcW w:w="1571"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t>2~6 min</w:t>
            </w:r>
          </w:p>
        </w:tc>
        <w:tc>
          <w:tcPr>
            <w:tcW w:w="1572"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t>2~5 min</w:t>
            </w:r>
          </w:p>
        </w:tc>
      </w:tr>
      <w:tr w:rsidR="002210DD">
        <w:trPr>
          <w:trHeight w:val="31"/>
        </w:trPr>
        <w:tc>
          <w:tcPr>
            <w:tcW w:w="2155"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t>引风式</w:t>
            </w:r>
          </w:p>
        </w:tc>
        <w:tc>
          <w:tcPr>
            <w:tcW w:w="1571"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t>20 min</w:t>
            </w:r>
          </w:p>
        </w:tc>
        <w:tc>
          <w:tcPr>
            <w:tcW w:w="1571"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t>18~25 min</w:t>
            </w:r>
          </w:p>
        </w:tc>
        <w:tc>
          <w:tcPr>
            <w:tcW w:w="1571"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t>5~16 min</w:t>
            </w:r>
          </w:p>
        </w:tc>
        <w:tc>
          <w:tcPr>
            <w:tcW w:w="1572"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t>2~8 min</w:t>
            </w:r>
          </w:p>
        </w:tc>
      </w:tr>
      <w:tr w:rsidR="002210DD">
        <w:trPr>
          <w:trHeight w:val="90"/>
        </w:trPr>
        <w:tc>
          <w:tcPr>
            <w:tcW w:w="2155"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t>扩散式</w:t>
            </w:r>
          </w:p>
        </w:tc>
        <w:tc>
          <w:tcPr>
            <w:tcW w:w="1571"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t>18~21 min</w:t>
            </w:r>
          </w:p>
        </w:tc>
        <w:tc>
          <w:tcPr>
            <w:tcW w:w="1571"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t>17~25 min</w:t>
            </w:r>
          </w:p>
        </w:tc>
        <w:tc>
          <w:tcPr>
            <w:tcW w:w="1571"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t>15~17 min</w:t>
            </w:r>
          </w:p>
        </w:tc>
        <w:tc>
          <w:tcPr>
            <w:tcW w:w="1572" w:type="dxa"/>
            <w:tcBorders>
              <w:top w:val="single" w:sz="4" w:space="0" w:color="auto"/>
              <w:left w:val="single" w:sz="4" w:space="0" w:color="auto"/>
              <w:bottom w:val="single" w:sz="4" w:space="0" w:color="auto"/>
              <w:right w:val="single" w:sz="4" w:space="0" w:color="auto"/>
            </w:tcBorders>
            <w:tcMar>
              <w:top w:w="12" w:type="dxa"/>
              <w:left w:w="12" w:type="dxa"/>
              <w:right w:w="12" w:type="dxa"/>
            </w:tcMar>
            <w:vAlign w:val="center"/>
          </w:tcPr>
          <w:p w:rsidR="002210DD" w:rsidRDefault="00A205B8">
            <w:pPr>
              <w:spacing w:line="240" w:lineRule="auto"/>
              <w:ind w:firstLineChars="0" w:firstLine="0"/>
              <w:jc w:val="center"/>
              <w:rPr>
                <w:sz w:val="21"/>
              </w:rPr>
            </w:pPr>
            <w:r>
              <w:rPr>
                <w:sz w:val="21"/>
              </w:rPr>
              <w:t>4~13 min</w:t>
            </w:r>
          </w:p>
        </w:tc>
      </w:tr>
    </w:tbl>
    <w:p w:rsidR="002210DD" w:rsidRDefault="00A205B8">
      <w:pPr>
        <w:ind w:firstLine="480"/>
      </w:pPr>
      <w:r>
        <w:t>统计国内</w:t>
      </w:r>
      <w:r>
        <w:t>10</w:t>
      </w:r>
      <w:r>
        <w:t>家生产厂家的监测单元，综合考虑实际监测的需求，拟定出固定式监测系统设备</w:t>
      </w:r>
      <w:r>
        <w:t>SO</w:t>
      </w:r>
      <w:r>
        <w:rPr>
          <w:vertAlign w:val="subscript"/>
        </w:rPr>
        <w:t>2</w:t>
      </w:r>
      <w:r>
        <w:t>、</w:t>
      </w:r>
      <w:r>
        <w:t>NO</w:t>
      </w:r>
      <w:r>
        <w:rPr>
          <w:vertAlign w:val="subscript"/>
        </w:rPr>
        <w:t>2</w:t>
      </w:r>
      <w:r>
        <w:t>、</w:t>
      </w:r>
      <w:r>
        <w:t>NO</w:t>
      </w:r>
      <w:r>
        <w:t>、</w:t>
      </w:r>
      <w:r>
        <w:t>O</w:t>
      </w:r>
      <w:r>
        <w:rPr>
          <w:vertAlign w:val="subscript"/>
        </w:rPr>
        <w:t>3</w:t>
      </w:r>
      <w:r>
        <w:t>、</w:t>
      </w:r>
      <w:r>
        <w:t>CO</w:t>
      </w:r>
      <w:r>
        <w:t>的响应时间不大于</w:t>
      </w:r>
      <w:r>
        <w:t>2 min</w:t>
      </w:r>
      <w:r>
        <w:t>，与《微型环境空气质量监控系统》（</w:t>
      </w:r>
      <w:r>
        <w:t>CCAEPI-RG-Y-040-2017</w:t>
      </w:r>
      <w:r>
        <w:t>）保持一致。</w:t>
      </w:r>
    </w:p>
    <w:p w:rsidR="002210DD" w:rsidRDefault="00A205B8">
      <w:pPr>
        <w:spacing w:beforeLines="50" w:before="156"/>
        <w:ind w:firstLineChars="0" w:firstLine="0"/>
        <w:jc w:val="center"/>
        <w:rPr>
          <w:b/>
          <w:sz w:val="21"/>
        </w:rPr>
      </w:pPr>
      <w:r>
        <w:rPr>
          <w:b/>
          <w:sz w:val="21"/>
        </w:rPr>
        <w:t>表</w:t>
      </w:r>
      <w:r>
        <w:rPr>
          <w:b/>
          <w:sz w:val="21"/>
        </w:rPr>
        <w:t>5.5-</w:t>
      </w:r>
      <w:r>
        <w:rPr>
          <w:rFonts w:hint="eastAsia"/>
          <w:b/>
          <w:sz w:val="21"/>
        </w:rPr>
        <w:t>9</w:t>
      </w:r>
      <w:r>
        <w:rPr>
          <w:b/>
          <w:sz w:val="21"/>
        </w:rPr>
        <w:t xml:space="preserve">  </w:t>
      </w:r>
      <w:r>
        <w:rPr>
          <w:b/>
          <w:sz w:val="21"/>
        </w:rPr>
        <w:t>响应时间对比</w:t>
      </w:r>
    </w:p>
    <w:tbl>
      <w:tblPr>
        <w:tblW w:w="4997"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1184"/>
        <w:gridCol w:w="1186"/>
        <w:gridCol w:w="1183"/>
        <w:gridCol w:w="1183"/>
        <w:gridCol w:w="1183"/>
        <w:gridCol w:w="1183"/>
        <w:gridCol w:w="1183"/>
      </w:tblGrid>
      <w:tr w:rsidR="002210DD">
        <w:trPr>
          <w:trHeight w:val="283"/>
        </w:trPr>
        <w:tc>
          <w:tcPr>
            <w:tcW w:w="1429" w:type="pct"/>
            <w:gridSpan w:val="2"/>
            <w:tcBorders>
              <w:tl2br w:val="nil"/>
              <w:tr2bl w:val="nil"/>
            </w:tcBorders>
            <w:shd w:val="clear" w:color="auto" w:fill="auto"/>
            <w:tcMar>
              <w:top w:w="15" w:type="dxa"/>
              <w:left w:w="15" w:type="dxa"/>
              <w:right w:w="15" w:type="dxa"/>
            </w:tcMar>
            <w:vAlign w:val="center"/>
          </w:tcPr>
          <w:p w:rsidR="002210DD" w:rsidRDefault="00A205B8">
            <w:pPr>
              <w:pStyle w:val="a8"/>
            </w:pPr>
            <w:r>
              <w:t>指南名称</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SO</w:t>
            </w:r>
            <w:r>
              <w:rPr>
                <w:vertAlign w:val="subscript"/>
              </w:rPr>
              <w:t>2</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NO</w:t>
            </w:r>
            <w:r>
              <w:rPr>
                <w:vertAlign w:val="subscript"/>
              </w:rPr>
              <w:t>2</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NO</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O</w:t>
            </w:r>
            <w:r>
              <w:rPr>
                <w:vertAlign w:val="subscript"/>
              </w:rPr>
              <w:t>3</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CO</w:t>
            </w:r>
          </w:p>
        </w:tc>
      </w:tr>
      <w:tr w:rsidR="002210DD">
        <w:trPr>
          <w:trHeight w:val="283"/>
        </w:trPr>
        <w:tc>
          <w:tcPr>
            <w:tcW w:w="1429" w:type="pct"/>
            <w:gridSpan w:val="2"/>
            <w:tcBorders>
              <w:tl2br w:val="nil"/>
              <w:tr2bl w:val="nil"/>
            </w:tcBorders>
            <w:shd w:val="clear" w:color="auto" w:fill="auto"/>
            <w:tcMar>
              <w:top w:w="15" w:type="dxa"/>
              <w:left w:w="15" w:type="dxa"/>
              <w:right w:w="15" w:type="dxa"/>
            </w:tcMar>
            <w:vAlign w:val="center"/>
          </w:tcPr>
          <w:p w:rsidR="002210DD" w:rsidRDefault="00A205B8">
            <w:pPr>
              <w:pStyle w:val="a8"/>
            </w:pPr>
            <w:r>
              <w:t>国标</w:t>
            </w:r>
            <w:r>
              <w:t>HJ654</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≤5min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≤5min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≤5min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≤4min</w:t>
            </w:r>
          </w:p>
        </w:tc>
      </w:tr>
      <w:tr w:rsidR="002210DD">
        <w:trPr>
          <w:trHeight w:val="283"/>
        </w:trPr>
        <w:tc>
          <w:tcPr>
            <w:tcW w:w="1429" w:type="pct"/>
            <w:gridSpan w:val="2"/>
            <w:tcBorders>
              <w:tl2br w:val="nil"/>
              <w:tr2bl w:val="nil"/>
            </w:tcBorders>
            <w:shd w:val="clear" w:color="auto" w:fill="auto"/>
            <w:tcMar>
              <w:top w:w="15" w:type="dxa"/>
              <w:left w:w="15" w:type="dxa"/>
              <w:right w:w="15" w:type="dxa"/>
            </w:tcMar>
            <w:vAlign w:val="center"/>
          </w:tcPr>
          <w:p w:rsidR="002210DD" w:rsidRDefault="00A205B8">
            <w:pPr>
              <w:pStyle w:val="a8"/>
            </w:pPr>
            <w:proofErr w:type="gramStart"/>
            <w:r>
              <w:t>环办监测</w:t>
            </w:r>
            <w:proofErr w:type="gramEnd"/>
            <w:r>
              <w:t>函</w:t>
            </w:r>
            <w:r>
              <w:t>[2017] 2027</w:t>
            </w:r>
            <w:r>
              <w:t>号</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w:t>
            </w:r>
          </w:p>
        </w:tc>
      </w:tr>
      <w:tr w:rsidR="002210DD">
        <w:trPr>
          <w:trHeight w:val="283"/>
        </w:trPr>
        <w:tc>
          <w:tcPr>
            <w:tcW w:w="1429" w:type="pct"/>
            <w:gridSpan w:val="2"/>
            <w:tcBorders>
              <w:tl2br w:val="nil"/>
              <w:tr2bl w:val="nil"/>
            </w:tcBorders>
            <w:shd w:val="clear" w:color="auto" w:fill="auto"/>
            <w:tcMar>
              <w:top w:w="15" w:type="dxa"/>
              <w:left w:w="15" w:type="dxa"/>
              <w:right w:w="15" w:type="dxa"/>
            </w:tcMar>
            <w:vAlign w:val="center"/>
          </w:tcPr>
          <w:p w:rsidR="002210DD" w:rsidRDefault="00A205B8">
            <w:pPr>
              <w:pStyle w:val="a8"/>
            </w:pPr>
            <w:r>
              <w:t>地标</w:t>
            </w:r>
            <w:r>
              <w:t>DB13/T2544</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≤1min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≤1min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≤1min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≤1min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≤1min</w:t>
            </w:r>
          </w:p>
        </w:tc>
      </w:tr>
      <w:tr w:rsidR="002210DD">
        <w:trPr>
          <w:trHeight w:val="283"/>
        </w:trPr>
        <w:tc>
          <w:tcPr>
            <w:tcW w:w="714" w:type="pct"/>
            <w:vMerge w:val="restart"/>
            <w:tcBorders>
              <w:tl2br w:val="nil"/>
              <w:tr2bl w:val="nil"/>
            </w:tcBorders>
            <w:shd w:val="clear" w:color="auto" w:fill="auto"/>
            <w:tcMar>
              <w:top w:w="15" w:type="dxa"/>
              <w:left w:w="15" w:type="dxa"/>
              <w:right w:w="15" w:type="dxa"/>
            </w:tcMar>
            <w:vAlign w:val="center"/>
          </w:tcPr>
          <w:p w:rsidR="002210DD" w:rsidRDefault="00A205B8">
            <w:pPr>
              <w:pStyle w:val="a8"/>
            </w:pPr>
            <w:r>
              <w:rPr>
                <w:rFonts w:hint="eastAsia"/>
              </w:rPr>
              <w:t>比对测试结果</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平均值</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14min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14min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15min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9min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5min</w:t>
            </w:r>
          </w:p>
        </w:tc>
      </w:tr>
      <w:tr w:rsidR="002210DD">
        <w:trPr>
          <w:trHeight w:val="283"/>
        </w:trPr>
        <w:tc>
          <w:tcPr>
            <w:tcW w:w="714" w:type="pct"/>
            <w:vMerge/>
            <w:tcBorders>
              <w:tl2br w:val="nil"/>
              <w:tr2bl w:val="nil"/>
            </w:tcBorders>
            <w:shd w:val="clear" w:color="auto" w:fill="auto"/>
            <w:tcMar>
              <w:top w:w="15" w:type="dxa"/>
              <w:left w:w="15" w:type="dxa"/>
              <w:right w:w="15" w:type="dxa"/>
            </w:tcMar>
            <w:vAlign w:val="center"/>
          </w:tcPr>
          <w:p w:rsidR="002210DD" w:rsidRDefault="002210DD">
            <w:pPr>
              <w:pStyle w:val="a8"/>
            </w:pP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最小值</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1min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2min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15min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2min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1min</w:t>
            </w:r>
          </w:p>
        </w:tc>
      </w:tr>
      <w:tr w:rsidR="002210DD">
        <w:trPr>
          <w:trHeight w:val="283"/>
        </w:trPr>
        <w:tc>
          <w:tcPr>
            <w:tcW w:w="714" w:type="pct"/>
            <w:vMerge/>
            <w:tcBorders>
              <w:tl2br w:val="nil"/>
              <w:tr2bl w:val="nil"/>
            </w:tcBorders>
            <w:shd w:val="clear" w:color="auto" w:fill="auto"/>
            <w:tcMar>
              <w:top w:w="15" w:type="dxa"/>
              <w:left w:w="15" w:type="dxa"/>
              <w:right w:w="15" w:type="dxa"/>
            </w:tcMar>
            <w:vAlign w:val="center"/>
          </w:tcPr>
          <w:p w:rsidR="002210DD" w:rsidRDefault="002210DD">
            <w:pPr>
              <w:pStyle w:val="a8"/>
            </w:pP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最大值</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27min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25min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15min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16min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13min</w:t>
            </w:r>
          </w:p>
        </w:tc>
      </w:tr>
      <w:tr w:rsidR="002210DD">
        <w:trPr>
          <w:trHeight w:val="283"/>
        </w:trPr>
        <w:tc>
          <w:tcPr>
            <w:tcW w:w="1429" w:type="pct"/>
            <w:gridSpan w:val="2"/>
            <w:tcBorders>
              <w:tl2br w:val="nil"/>
              <w:tr2bl w:val="nil"/>
            </w:tcBorders>
            <w:shd w:val="clear" w:color="auto" w:fill="auto"/>
            <w:tcMar>
              <w:top w:w="15" w:type="dxa"/>
              <w:left w:w="15" w:type="dxa"/>
              <w:right w:w="15" w:type="dxa"/>
            </w:tcMar>
            <w:vAlign w:val="center"/>
          </w:tcPr>
          <w:p w:rsidR="002210DD" w:rsidRDefault="00A205B8">
            <w:pPr>
              <w:pStyle w:val="a8"/>
            </w:pPr>
            <w:r>
              <w:rPr>
                <w:rFonts w:hint="eastAsia"/>
              </w:rPr>
              <w:t>本规范</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≤2min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≤2min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≤2min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≤2min</w:t>
            </w:r>
          </w:p>
        </w:tc>
        <w:tc>
          <w:tcPr>
            <w:tcW w:w="714" w:type="pct"/>
            <w:tcBorders>
              <w:tl2br w:val="nil"/>
              <w:tr2bl w:val="nil"/>
            </w:tcBorders>
            <w:shd w:val="clear" w:color="auto" w:fill="auto"/>
            <w:tcMar>
              <w:top w:w="15" w:type="dxa"/>
              <w:left w:w="15" w:type="dxa"/>
              <w:right w:w="15" w:type="dxa"/>
            </w:tcMar>
            <w:vAlign w:val="center"/>
          </w:tcPr>
          <w:p w:rsidR="002210DD" w:rsidRDefault="00A205B8">
            <w:pPr>
              <w:pStyle w:val="a8"/>
            </w:pPr>
            <w:r>
              <w:t>≤2min</w:t>
            </w:r>
          </w:p>
        </w:tc>
      </w:tr>
    </w:tbl>
    <w:p w:rsidR="002210DD" w:rsidRDefault="00A205B8">
      <w:pPr>
        <w:pStyle w:val="3"/>
      </w:pPr>
      <w:r>
        <w:rPr>
          <w:rFonts w:hint="eastAsia"/>
        </w:rPr>
        <w:t>仪器</w:t>
      </w:r>
      <w:r>
        <w:t>平行性</w:t>
      </w:r>
    </w:p>
    <w:p w:rsidR="002210DD" w:rsidRDefault="00A205B8">
      <w:pPr>
        <w:ind w:firstLine="480"/>
      </w:pPr>
      <w:r>
        <w:t>SO</w:t>
      </w:r>
      <w:r>
        <w:rPr>
          <w:vertAlign w:val="subscript"/>
        </w:rPr>
        <w:t>2</w:t>
      </w:r>
      <w:r>
        <w:t>、</w:t>
      </w:r>
      <w:r>
        <w:t>NO</w:t>
      </w:r>
      <w:r>
        <w:rPr>
          <w:vertAlign w:val="subscript"/>
        </w:rPr>
        <w:t>2</w:t>
      </w:r>
      <w:r>
        <w:t>、</w:t>
      </w:r>
      <w:r>
        <w:t>NO</w:t>
      </w:r>
      <w:r>
        <w:t>、</w:t>
      </w:r>
      <w:r>
        <w:t>O</w:t>
      </w:r>
      <w:r>
        <w:rPr>
          <w:vertAlign w:val="subscript"/>
        </w:rPr>
        <w:t>3</w:t>
      </w:r>
      <w:r>
        <w:t>、</w:t>
      </w:r>
      <w:r>
        <w:t>CO</w:t>
      </w:r>
      <w:r>
        <w:t>监测设备之间的平行性不大于</w:t>
      </w:r>
      <w:r>
        <w:t>20%</w:t>
      </w:r>
      <w:r>
        <w:t>。</w:t>
      </w:r>
    </w:p>
    <w:p w:rsidR="002210DD" w:rsidRDefault="00A205B8">
      <w:pPr>
        <w:spacing w:beforeLines="50" w:before="156"/>
        <w:ind w:firstLineChars="0" w:firstLine="0"/>
        <w:jc w:val="center"/>
        <w:rPr>
          <w:b/>
          <w:sz w:val="21"/>
        </w:rPr>
      </w:pPr>
      <w:r>
        <w:rPr>
          <w:b/>
          <w:sz w:val="21"/>
        </w:rPr>
        <w:t>表</w:t>
      </w:r>
      <w:r>
        <w:rPr>
          <w:b/>
          <w:sz w:val="21"/>
        </w:rPr>
        <w:t>5.5-</w:t>
      </w:r>
      <w:r>
        <w:rPr>
          <w:rFonts w:hint="eastAsia"/>
          <w:b/>
          <w:sz w:val="21"/>
        </w:rPr>
        <w:t>10</w:t>
      </w:r>
      <w:r>
        <w:rPr>
          <w:b/>
          <w:sz w:val="21"/>
        </w:rPr>
        <w:t xml:space="preserve">  </w:t>
      </w:r>
      <w:r>
        <w:rPr>
          <w:rFonts w:hint="eastAsia"/>
          <w:b/>
          <w:sz w:val="21"/>
        </w:rPr>
        <w:t>仪器</w:t>
      </w:r>
      <w:r>
        <w:rPr>
          <w:b/>
          <w:sz w:val="21"/>
        </w:rPr>
        <w:t>平行性对比</w:t>
      </w:r>
    </w:p>
    <w:tbl>
      <w:tblPr>
        <w:tblW w:w="4997" w:type="pct"/>
        <w:tblCellMar>
          <w:left w:w="0" w:type="dxa"/>
          <w:right w:w="0" w:type="dxa"/>
        </w:tblCellMar>
        <w:tblLook w:val="04A0" w:firstRow="1" w:lastRow="0" w:firstColumn="1" w:lastColumn="0" w:noHBand="0" w:noVBand="1"/>
      </w:tblPr>
      <w:tblGrid>
        <w:gridCol w:w="1813"/>
        <w:gridCol w:w="1775"/>
        <w:gridCol w:w="941"/>
        <w:gridCol w:w="941"/>
        <w:gridCol w:w="941"/>
        <w:gridCol w:w="940"/>
        <w:gridCol w:w="940"/>
      </w:tblGrid>
      <w:tr w:rsidR="002210DD">
        <w:trPr>
          <w:trHeight w:val="345"/>
        </w:trPr>
        <w:tc>
          <w:tcPr>
            <w:tcW w:w="2161"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规范名称</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SO</w:t>
            </w:r>
            <w:r>
              <w:rPr>
                <w:b/>
                <w:bCs/>
                <w:sz w:val="21"/>
                <w:vertAlign w:val="subscript"/>
              </w:rPr>
              <w:t>2</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NO</w:t>
            </w:r>
            <w:r>
              <w:rPr>
                <w:b/>
                <w:bCs/>
                <w:sz w:val="21"/>
                <w:vertAlign w:val="subscript"/>
              </w:rPr>
              <w:t>2</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NO</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O</w:t>
            </w:r>
            <w:r>
              <w:rPr>
                <w:b/>
                <w:bCs/>
                <w:sz w:val="21"/>
                <w:vertAlign w:val="subscript"/>
              </w:rPr>
              <w:t>3</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CO</w:t>
            </w:r>
          </w:p>
        </w:tc>
      </w:tr>
      <w:tr w:rsidR="002210DD">
        <w:trPr>
          <w:trHeight w:val="285"/>
        </w:trPr>
        <w:tc>
          <w:tcPr>
            <w:tcW w:w="2161"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国标</w:t>
            </w:r>
            <w:r>
              <w:rPr>
                <w:sz w:val="21"/>
              </w:rPr>
              <w:t>HJ654</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r>
      <w:tr w:rsidR="002210DD">
        <w:trPr>
          <w:trHeight w:val="285"/>
        </w:trPr>
        <w:tc>
          <w:tcPr>
            <w:tcW w:w="2161"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proofErr w:type="gramStart"/>
            <w:r>
              <w:rPr>
                <w:sz w:val="21"/>
              </w:rPr>
              <w:t>环办监测</w:t>
            </w:r>
            <w:proofErr w:type="gramEnd"/>
            <w:r>
              <w:rPr>
                <w:sz w:val="21"/>
              </w:rPr>
              <w:t>函</w:t>
            </w:r>
            <w:r>
              <w:rPr>
                <w:sz w:val="21"/>
              </w:rPr>
              <w:t>[2017] 2027</w:t>
            </w:r>
            <w:r>
              <w:rPr>
                <w:sz w:val="21"/>
              </w:rPr>
              <w:t>号</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≤15%</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≤15%</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≤15%</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≤15%</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≤15%</w:t>
            </w:r>
          </w:p>
        </w:tc>
      </w:tr>
      <w:tr w:rsidR="002210DD">
        <w:trPr>
          <w:trHeight w:val="285"/>
        </w:trPr>
        <w:tc>
          <w:tcPr>
            <w:tcW w:w="2161"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地标</w:t>
            </w:r>
            <w:r>
              <w:rPr>
                <w:sz w:val="21"/>
              </w:rPr>
              <w:t>DB13/T2544</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56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r>
      <w:tr w:rsidR="002210DD">
        <w:trPr>
          <w:trHeight w:val="285"/>
        </w:trPr>
        <w:tc>
          <w:tcPr>
            <w:tcW w:w="1092" w:type="pct"/>
            <w:vMerge w:val="restar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比对测试结果</w:t>
            </w:r>
          </w:p>
        </w:tc>
        <w:tc>
          <w:tcPr>
            <w:tcW w:w="106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平均值</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39%</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29%</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25%</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38%</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16%</w:t>
            </w:r>
          </w:p>
        </w:tc>
      </w:tr>
      <w:tr w:rsidR="002210DD">
        <w:trPr>
          <w:trHeight w:val="285"/>
        </w:trPr>
        <w:tc>
          <w:tcPr>
            <w:tcW w:w="1092" w:type="pct"/>
            <w:vMerge/>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sz w:val="21"/>
              </w:rPr>
            </w:pPr>
          </w:p>
        </w:tc>
        <w:tc>
          <w:tcPr>
            <w:tcW w:w="106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最小值</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16%</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10%</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25%</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12%</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8%</w:t>
            </w:r>
          </w:p>
        </w:tc>
      </w:tr>
      <w:tr w:rsidR="002210DD">
        <w:trPr>
          <w:trHeight w:val="285"/>
        </w:trPr>
        <w:tc>
          <w:tcPr>
            <w:tcW w:w="1092" w:type="pct"/>
            <w:vMerge/>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sz w:val="21"/>
              </w:rPr>
            </w:pPr>
          </w:p>
        </w:tc>
        <w:tc>
          <w:tcPr>
            <w:tcW w:w="1068"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最大值</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77%</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53%</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25%</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63%</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36%</w:t>
            </w:r>
          </w:p>
        </w:tc>
      </w:tr>
      <w:tr w:rsidR="002210DD">
        <w:trPr>
          <w:trHeight w:val="285"/>
        </w:trPr>
        <w:tc>
          <w:tcPr>
            <w:tcW w:w="2161"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本规范</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≤20%</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≤20%</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≤20%</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≤20%</w:t>
            </w:r>
          </w:p>
        </w:tc>
        <w:tc>
          <w:tcPr>
            <w:tcW w:w="56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≤20%</w:t>
            </w:r>
          </w:p>
        </w:tc>
      </w:tr>
    </w:tbl>
    <w:p w:rsidR="002210DD" w:rsidRDefault="00A205B8">
      <w:pPr>
        <w:ind w:firstLine="480"/>
      </w:pPr>
      <w:r>
        <w:t>监测设备的平行性在大气网格化监测系统中极为重要。已有规范中，《大气</w:t>
      </w:r>
      <w:r>
        <w:t>PM</w:t>
      </w:r>
      <w:r>
        <w:rPr>
          <w:vertAlign w:val="subscript"/>
        </w:rPr>
        <w:t>2.5</w:t>
      </w:r>
      <w:r>
        <w:t>网格化监测技术要求和检测方法技术规范》（</w:t>
      </w:r>
      <w:proofErr w:type="gramStart"/>
      <w:r>
        <w:t>环办监测</w:t>
      </w:r>
      <w:proofErr w:type="gramEnd"/>
      <w:r>
        <w:t>函</w:t>
      </w:r>
      <w:r>
        <w:t xml:space="preserve"> [2017] 2027</w:t>
      </w:r>
      <w:r>
        <w:t>号）对颗粒物</w:t>
      </w:r>
      <w:r>
        <w:t>PM</w:t>
      </w:r>
      <w:r>
        <w:rPr>
          <w:vertAlign w:val="subscript"/>
        </w:rPr>
        <w:t>2.5</w:t>
      </w:r>
      <w:r>
        <w:t>的网格化监测设备</w:t>
      </w:r>
      <w:proofErr w:type="gramStart"/>
      <w:r>
        <w:t>作出</w:t>
      </w:r>
      <w:proofErr w:type="gramEnd"/>
      <w:r>
        <w:t>了规定，要求</w:t>
      </w:r>
      <w:r>
        <w:t>“50</w:t>
      </w:r>
      <w:r>
        <w:t>台网格化监测设备平行性</w:t>
      </w:r>
      <w:r>
        <w:t>≤15%”</w:t>
      </w:r>
      <w:r>
        <w:t>；《大气污染防治网格化监测系统技术要求及检测方法》（</w:t>
      </w:r>
      <w:r>
        <w:t>DB13/T 2544—2017</w:t>
      </w:r>
      <w:r>
        <w:t>）对颗粒物</w:t>
      </w:r>
      <w:r>
        <w:t>PM</w:t>
      </w:r>
      <w:r>
        <w:rPr>
          <w:vertAlign w:val="subscript"/>
        </w:rPr>
        <w:t>2.5</w:t>
      </w:r>
      <w:r>
        <w:t>和</w:t>
      </w:r>
      <w:r>
        <w:t>PM</w:t>
      </w:r>
      <w:r>
        <w:rPr>
          <w:vertAlign w:val="subscript"/>
        </w:rPr>
        <w:t>10</w:t>
      </w:r>
      <w:r>
        <w:t>的网格化监测设备</w:t>
      </w:r>
      <w:proofErr w:type="gramStart"/>
      <w:r>
        <w:t>作出</w:t>
      </w:r>
      <w:proofErr w:type="gramEnd"/>
      <w:r>
        <w:t>了规定，要求微型空气监测站室外测试时</w:t>
      </w:r>
      <w:r>
        <w:t>“PM</w:t>
      </w:r>
      <w:r>
        <w:rPr>
          <w:vertAlign w:val="subscript"/>
        </w:rPr>
        <w:t>2.5</w:t>
      </w:r>
      <w:r>
        <w:t>平行性</w:t>
      </w:r>
      <w:r>
        <w:t>≤10%</w:t>
      </w:r>
      <w:r>
        <w:t>、</w:t>
      </w:r>
      <w:r>
        <w:t>PM</w:t>
      </w:r>
      <w:r>
        <w:rPr>
          <w:vertAlign w:val="subscript"/>
        </w:rPr>
        <w:t>10</w:t>
      </w:r>
      <w:r>
        <w:t>平行性</w:t>
      </w:r>
      <w:r>
        <w:t>≤15%”</w:t>
      </w:r>
      <w:r>
        <w:t>。目前，已有规范中尚</w:t>
      </w:r>
      <w:r>
        <w:lastRenderedPageBreak/>
        <w:t>无关于气态污染物监测设备平行性的相关规定。</w:t>
      </w:r>
    </w:p>
    <w:p w:rsidR="002210DD" w:rsidRDefault="00A205B8">
      <w:pPr>
        <w:spacing w:afterLines="50" w:after="156"/>
        <w:ind w:firstLineChars="0" w:firstLine="0"/>
        <w:jc w:val="center"/>
        <w:rPr>
          <w:b/>
          <w:sz w:val="21"/>
        </w:rPr>
      </w:pPr>
      <w:r>
        <w:rPr>
          <w:noProof/>
        </w:rPr>
        <w:drawing>
          <wp:inline distT="0" distB="0" distL="114300" distR="114300">
            <wp:extent cx="2592070" cy="1624330"/>
            <wp:effectExtent l="0" t="0" r="11430" b="1270"/>
            <wp:docPr id="43"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5"/>
                    <pic:cNvPicPr>
                      <a:picLocks noChangeAspect="1"/>
                    </pic:cNvPicPr>
                  </pic:nvPicPr>
                  <pic:blipFill>
                    <a:blip r:embed="rId32"/>
                    <a:stretch>
                      <a:fillRect/>
                    </a:stretch>
                  </pic:blipFill>
                  <pic:spPr>
                    <a:xfrm>
                      <a:off x="0" y="0"/>
                      <a:ext cx="2592070" cy="1624330"/>
                    </a:xfrm>
                    <a:prstGeom prst="rect">
                      <a:avLst/>
                    </a:prstGeom>
                    <a:noFill/>
                    <a:ln>
                      <a:noFill/>
                    </a:ln>
                  </pic:spPr>
                </pic:pic>
              </a:graphicData>
            </a:graphic>
          </wp:inline>
        </w:drawing>
      </w:r>
      <w:r>
        <w:rPr>
          <w:noProof/>
        </w:rPr>
        <w:drawing>
          <wp:inline distT="0" distB="0" distL="114300" distR="114300">
            <wp:extent cx="2592070" cy="1626870"/>
            <wp:effectExtent l="0" t="0" r="11430" b="11430"/>
            <wp:docPr id="44"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6"/>
                    <pic:cNvPicPr>
                      <a:picLocks noChangeAspect="1"/>
                    </pic:cNvPicPr>
                  </pic:nvPicPr>
                  <pic:blipFill>
                    <a:blip r:embed="rId33"/>
                    <a:stretch>
                      <a:fillRect/>
                    </a:stretch>
                  </pic:blipFill>
                  <pic:spPr>
                    <a:xfrm>
                      <a:off x="0" y="0"/>
                      <a:ext cx="2592070" cy="1626870"/>
                    </a:xfrm>
                    <a:prstGeom prst="rect">
                      <a:avLst/>
                    </a:prstGeom>
                    <a:noFill/>
                    <a:ln>
                      <a:noFill/>
                    </a:ln>
                  </pic:spPr>
                </pic:pic>
              </a:graphicData>
            </a:graphic>
          </wp:inline>
        </w:drawing>
      </w:r>
      <w:r>
        <w:rPr>
          <w:noProof/>
        </w:rPr>
        <w:drawing>
          <wp:inline distT="0" distB="0" distL="114300" distR="114300">
            <wp:extent cx="2592070" cy="1626870"/>
            <wp:effectExtent l="0" t="0" r="11430" b="11430"/>
            <wp:docPr id="45"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27"/>
                    <pic:cNvPicPr>
                      <a:picLocks noChangeAspect="1"/>
                    </pic:cNvPicPr>
                  </pic:nvPicPr>
                  <pic:blipFill>
                    <a:blip r:embed="rId34"/>
                    <a:stretch>
                      <a:fillRect/>
                    </a:stretch>
                  </pic:blipFill>
                  <pic:spPr>
                    <a:xfrm>
                      <a:off x="0" y="0"/>
                      <a:ext cx="2592070" cy="1626870"/>
                    </a:xfrm>
                    <a:prstGeom prst="rect">
                      <a:avLst/>
                    </a:prstGeom>
                    <a:noFill/>
                    <a:ln>
                      <a:noFill/>
                    </a:ln>
                  </pic:spPr>
                </pic:pic>
              </a:graphicData>
            </a:graphic>
          </wp:inline>
        </w:drawing>
      </w:r>
      <w:r>
        <w:rPr>
          <w:noProof/>
        </w:rPr>
        <w:drawing>
          <wp:inline distT="0" distB="0" distL="114300" distR="114300">
            <wp:extent cx="2592070" cy="1626870"/>
            <wp:effectExtent l="0" t="0" r="11430" b="11430"/>
            <wp:docPr id="46"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8"/>
                    <pic:cNvPicPr>
                      <a:picLocks noChangeAspect="1"/>
                    </pic:cNvPicPr>
                  </pic:nvPicPr>
                  <pic:blipFill>
                    <a:blip r:embed="rId35"/>
                    <a:stretch>
                      <a:fillRect/>
                    </a:stretch>
                  </pic:blipFill>
                  <pic:spPr>
                    <a:xfrm>
                      <a:off x="0" y="0"/>
                      <a:ext cx="2592070" cy="1626870"/>
                    </a:xfrm>
                    <a:prstGeom prst="rect">
                      <a:avLst/>
                    </a:prstGeom>
                    <a:noFill/>
                    <a:ln>
                      <a:noFill/>
                    </a:ln>
                  </pic:spPr>
                </pic:pic>
              </a:graphicData>
            </a:graphic>
          </wp:inline>
        </w:drawing>
      </w:r>
    </w:p>
    <w:p w:rsidR="002210DD" w:rsidRDefault="00A205B8">
      <w:pPr>
        <w:spacing w:afterLines="50" w:after="156"/>
        <w:ind w:firstLineChars="0" w:firstLine="0"/>
        <w:jc w:val="center"/>
        <w:rPr>
          <w:b/>
          <w:sz w:val="21"/>
        </w:rPr>
      </w:pPr>
      <w:r>
        <w:rPr>
          <w:b/>
          <w:sz w:val="21"/>
        </w:rPr>
        <w:t>图</w:t>
      </w:r>
      <w:r>
        <w:rPr>
          <w:b/>
          <w:sz w:val="21"/>
        </w:rPr>
        <w:t xml:space="preserve">5.5-7  </w:t>
      </w:r>
      <w:r>
        <w:rPr>
          <w:b/>
          <w:sz w:val="21"/>
        </w:rPr>
        <w:t>监测系统设备平行性实测结果</w:t>
      </w:r>
    </w:p>
    <w:p w:rsidR="002210DD" w:rsidRDefault="00A205B8">
      <w:pPr>
        <w:ind w:firstLine="480"/>
      </w:pPr>
      <w:r>
        <w:t>根据传感器监测设备平行性实测比对结果可知，</w:t>
      </w:r>
      <w:r>
        <w:t>SO</w:t>
      </w:r>
      <w:r>
        <w:rPr>
          <w:vertAlign w:val="subscript"/>
        </w:rPr>
        <w:t>2</w:t>
      </w:r>
      <w:r>
        <w:t>、</w:t>
      </w:r>
      <w:r>
        <w:t>NO</w:t>
      </w:r>
      <w:r>
        <w:rPr>
          <w:vertAlign w:val="subscript"/>
        </w:rPr>
        <w:t>2</w:t>
      </w:r>
      <w:r>
        <w:t>、</w:t>
      </w:r>
      <w:r>
        <w:t>NO</w:t>
      </w:r>
      <w:r>
        <w:t>、</w:t>
      </w:r>
      <w:r>
        <w:t>O</w:t>
      </w:r>
      <w:r>
        <w:rPr>
          <w:vertAlign w:val="subscript"/>
        </w:rPr>
        <w:t>3</w:t>
      </w:r>
      <w:r>
        <w:t>等因子的平行性相对</w:t>
      </w:r>
      <w:r>
        <w:t>CO</w:t>
      </w:r>
      <w:r>
        <w:t>较差，综合大多数厂家设备的实际情况，本规范要求</w:t>
      </w:r>
      <w:r>
        <w:t>SO</w:t>
      </w:r>
      <w:r>
        <w:rPr>
          <w:vertAlign w:val="subscript"/>
        </w:rPr>
        <w:t>2</w:t>
      </w:r>
      <w:r>
        <w:t>、</w:t>
      </w:r>
      <w:r>
        <w:t>NO</w:t>
      </w:r>
      <w:r>
        <w:rPr>
          <w:vertAlign w:val="subscript"/>
        </w:rPr>
        <w:t>2</w:t>
      </w:r>
      <w:r>
        <w:t>、</w:t>
      </w:r>
      <w:r>
        <w:t>NO</w:t>
      </w:r>
      <w:r>
        <w:t>、</w:t>
      </w:r>
      <w:r>
        <w:t>O</w:t>
      </w:r>
      <w:r>
        <w:rPr>
          <w:vertAlign w:val="subscript"/>
        </w:rPr>
        <w:t>3</w:t>
      </w:r>
      <w:r>
        <w:t>、</w:t>
      </w:r>
      <w:r>
        <w:t>CO</w:t>
      </w:r>
      <w:r>
        <w:t>监测设备之间的平行性不大于</w:t>
      </w:r>
      <w:r>
        <w:t>20%</w:t>
      </w:r>
      <w:r>
        <w:t>；考虑到监测系统设备平行性测试中多选择</w:t>
      </w:r>
      <w:r>
        <w:t>3</w:t>
      </w:r>
      <w:r>
        <w:t>台设备比对试验，本规范要求任意</w:t>
      </w:r>
      <w:r>
        <w:t>3</w:t>
      </w:r>
      <w:r>
        <w:t>台监测系统设备的平行性应符合上述要求。</w:t>
      </w:r>
    </w:p>
    <w:p w:rsidR="002210DD" w:rsidRDefault="00A205B8">
      <w:pPr>
        <w:pStyle w:val="3"/>
      </w:pPr>
      <w:r>
        <w:t>室外比对测量相关系数</w:t>
      </w:r>
    </w:p>
    <w:p w:rsidR="002210DD" w:rsidRDefault="00A205B8">
      <w:pPr>
        <w:tabs>
          <w:tab w:val="left" w:pos="420"/>
        </w:tabs>
        <w:ind w:firstLine="480"/>
      </w:pPr>
      <w:r>
        <w:t>使用监测系统设备与标准监测设备进行至少</w:t>
      </w:r>
      <w:r>
        <w:t>336</w:t>
      </w:r>
      <w:r>
        <w:t>组有效数据的比对测试，测试结果进行线性回归分析，符合以下要求：</w:t>
      </w:r>
    </w:p>
    <w:p w:rsidR="002210DD" w:rsidRDefault="00A205B8">
      <w:pPr>
        <w:tabs>
          <w:tab w:val="left" w:pos="420"/>
        </w:tabs>
        <w:ind w:firstLine="480"/>
      </w:pPr>
      <w:r>
        <w:t>SO</w:t>
      </w:r>
      <w:r>
        <w:rPr>
          <w:vertAlign w:val="subscript"/>
        </w:rPr>
        <w:t>2</w:t>
      </w:r>
      <w:r>
        <w:t>、</w:t>
      </w:r>
      <w:r>
        <w:t>NO</w:t>
      </w:r>
      <w:r>
        <w:rPr>
          <w:vertAlign w:val="subscript"/>
        </w:rPr>
        <w:t>2</w:t>
      </w:r>
      <w:r>
        <w:t>、</w:t>
      </w:r>
      <w:r>
        <w:t>NO</w:t>
      </w:r>
      <w:r>
        <w:t>、</w:t>
      </w:r>
      <w:r>
        <w:t>O</w:t>
      </w:r>
      <w:r>
        <w:rPr>
          <w:vertAlign w:val="subscript"/>
        </w:rPr>
        <w:t>3</w:t>
      </w:r>
      <w:r>
        <w:t>、</w:t>
      </w:r>
      <w:r>
        <w:t>CO</w:t>
      </w:r>
      <w:r>
        <w:t>因子的相关系数</w:t>
      </w:r>
      <w:r>
        <w:t>≥0.80</w:t>
      </w:r>
      <w:r>
        <w:t>。</w:t>
      </w:r>
    </w:p>
    <w:p w:rsidR="002210DD" w:rsidRDefault="00A205B8">
      <w:pPr>
        <w:tabs>
          <w:tab w:val="left" w:pos="420"/>
        </w:tabs>
        <w:ind w:firstLine="480"/>
      </w:pPr>
      <w:r>
        <w:t>注：</w:t>
      </w:r>
      <w:r>
        <w:t>SO</w:t>
      </w:r>
      <w:r>
        <w:rPr>
          <w:vertAlign w:val="subscript"/>
        </w:rPr>
        <w:t>2</w:t>
      </w:r>
      <w:r>
        <w:rPr>
          <w:rFonts w:hint="eastAsia"/>
        </w:rPr>
        <w:t>平均</w:t>
      </w:r>
      <w:r>
        <w:t>浓度在</w:t>
      </w:r>
      <w:r>
        <w:t xml:space="preserve">10 nmol/mol </w:t>
      </w:r>
      <w:r>
        <w:t>以下时，该指标不作要求。</w:t>
      </w:r>
    </w:p>
    <w:p w:rsidR="002210DD" w:rsidRDefault="00A205B8">
      <w:pPr>
        <w:spacing w:afterLines="50" w:after="156"/>
        <w:ind w:firstLineChars="0" w:firstLine="0"/>
        <w:jc w:val="center"/>
        <w:rPr>
          <w:b/>
          <w:sz w:val="21"/>
        </w:rPr>
      </w:pPr>
      <w:r>
        <w:rPr>
          <w:noProof/>
        </w:rPr>
        <w:lastRenderedPageBreak/>
        <w:drawing>
          <wp:inline distT="0" distB="0" distL="114300" distR="114300">
            <wp:extent cx="2592070" cy="1537335"/>
            <wp:effectExtent l="0" t="0" r="11430" b="12065"/>
            <wp:docPr id="51"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3"/>
                    <pic:cNvPicPr>
                      <a:picLocks noChangeAspect="1"/>
                    </pic:cNvPicPr>
                  </pic:nvPicPr>
                  <pic:blipFill>
                    <a:blip r:embed="rId36"/>
                    <a:stretch>
                      <a:fillRect/>
                    </a:stretch>
                  </pic:blipFill>
                  <pic:spPr>
                    <a:xfrm>
                      <a:off x="0" y="0"/>
                      <a:ext cx="2592070" cy="1537335"/>
                    </a:xfrm>
                    <a:prstGeom prst="rect">
                      <a:avLst/>
                    </a:prstGeom>
                    <a:noFill/>
                    <a:ln>
                      <a:noFill/>
                    </a:ln>
                  </pic:spPr>
                </pic:pic>
              </a:graphicData>
            </a:graphic>
          </wp:inline>
        </w:drawing>
      </w:r>
      <w:r>
        <w:rPr>
          <w:noProof/>
        </w:rPr>
        <w:drawing>
          <wp:inline distT="0" distB="0" distL="114300" distR="114300">
            <wp:extent cx="2592070" cy="1540510"/>
            <wp:effectExtent l="0" t="0" r="11430" b="8890"/>
            <wp:docPr id="48"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30"/>
                    <pic:cNvPicPr>
                      <a:picLocks noChangeAspect="1"/>
                    </pic:cNvPicPr>
                  </pic:nvPicPr>
                  <pic:blipFill>
                    <a:blip r:embed="rId37"/>
                    <a:stretch>
                      <a:fillRect/>
                    </a:stretch>
                  </pic:blipFill>
                  <pic:spPr>
                    <a:xfrm>
                      <a:off x="0" y="0"/>
                      <a:ext cx="2592070" cy="1540510"/>
                    </a:xfrm>
                    <a:prstGeom prst="rect">
                      <a:avLst/>
                    </a:prstGeom>
                    <a:noFill/>
                    <a:ln>
                      <a:noFill/>
                    </a:ln>
                  </pic:spPr>
                </pic:pic>
              </a:graphicData>
            </a:graphic>
          </wp:inline>
        </w:drawing>
      </w:r>
      <w:r>
        <w:rPr>
          <w:noProof/>
        </w:rPr>
        <w:drawing>
          <wp:inline distT="0" distB="0" distL="114300" distR="114300">
            <wp:extent cx="2592070" cy="1537335"/>
            <wp:effectExtent l="0" t="0" r="11430" b="12065"/>
            <wp:docPr id="49"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1"/>
                    <pic:cNvPicPr>
                      <a:picLocks noChangeAspect="1"/>
                    </pic:cNvPicPr>
                  </pic:nvPicPr>
                  <pic:blipFill>
                    <a:blip r:embed="rId38"/>
                    <a:stretch>
                      <a:fillRect/>
                    </a:stretch>
                  </pic:blipFill>
                  <pic:spPr>
                    <a:xfrm>
                      <a:off x="0" y="0"/>
                      <a:ext cx="2592070" cy="1537335"/>
                    </a:xfrm>
                    <a:prstGeom prst="rect">
                      <a:avLst/>
                    </a:prstGeom>
                    <a:noFill/>
                    <a:ln>
                      <a:noFill/>
                    </a:ln>
                  </pic:spPr>
                </pic:pic>
              </a:graphicData>
            </a:graphic>
          </wp:inline>
        </w:drawing>
      </w:r>
      <w:r>
        <w:rPr>
          <w:noProof/>
        </w:rPr>
        <w:drawing>
          <wp:inline distT="0" distB="0" distL="114300" distR="114300">
            <wp:extent cx="2592070" cy="1537335"/>
            <wp:effectExtent l="0" t="0" r="11430" b="12065"/>
            <wp:docPr id="5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2"/>
                    <pic:cNvPicPr>
                      <a:picLocks noChangeAspect="1"/>
                    </pic:cNvPicPr>
                  </pic:nvPicPr>
                  <pic:blipFill>
                    <a:blip r:embed="rId39"/>
                    <a:stretch>
                      <a:fillRect/>
                    </a:stretch>
                  </pic:blipFill>
                  <pic:spPr>
                    <a:xfrm>
                      <a:off x="0" y="0"/>
                      <a:ext cx="2592070" cy="1537335"/>
                    </a:xfrm>
                    <a:prstGeom prst="rect">
                      <a:avLst/>
                    </a:prstGeom>
                    <a:noFill/>
                    <a:ln>
                      <a:noFill/>
                    </a:ln>
                  </pic:spPr>
                </pic:pic>
              </a:graphicData>
            </a:graphic>
          </wp:inline>
        </w:drawing>
      </w:r>
      <w:r>
        <w:rPr>
          <w:b/>
          <w:sz w:val="21"/>
        </w:rPr>
        <w:t>图</w:t>
      </w:r>
      <w:r>
        <w:rPr>
          <w:b/>
          <w:sz w:val="21"/>
        </w:rPr>
        <w:t xml:space="preserve">5.5-8 </w:t>
      </w:r>
      <w:r>
        <w:rPr>
          <w:b/>
          <w:color w:val="000000"/>
          <w:sz w:val="21"/>
        </w:rPr>
        <w:t xml:space="preserve"> </w:t>
      </w:r>
      <w:r>
        <w:rPr>
          <w:b/>
          <w:sz w:val="21"/>
        </w:rPr>
        <w:t>室外比对测试相关性调研结果</w:t>
      </w:r>
    </w:p>
    <w:p w:rsidR="002210DD" w:rsidRDefault="00A205B8">
      <w:pPr>
        <w:ind w:firstLine="480"/>
      </w:pPr>
      <w:r>
        <w:t>此条要求参考了《大气</w:t>
      </w:r>
      <w:r>
        <w:t>PM</w:t>
      </w:r>
      <w:r>
        <w:rPr>
          <w:vertAlign w:val="subscript"/>
        </w:rPr>
        <w:t>2.5</w:t>
      </w:r>
      <w:r>
        <w:t>网格化监测技术要求和检测方法技术规范》（</w:t>
      </w:r>
      <w:proofErr w:type="gramStart"/>
      <w:r>
        <w:t>环办监测</w:t>
      </w:r>
      <w:proofErr w:type="gramEnd"/>
      <w:r>
        <w:t>函</w:t>
      </w:r>
      <w:r>
        <w:t xml:space="preserve"> [2017] 2027</w:t>
      </w:r>
      <w:r>
        <w:t>号）的</w:t>
      </w:r>
      <w:r>
        <w:t>6.8</w:t>
      </w:r>
      <w:r>
        <w:t>的要求，根据市场监测设备实际调研结果，放宽了指标。考虑到长三角区域</w:t>
      </w:r>
      <w:r>
        <w:t>SO</w:t>
      </w:r>
      <w:r>
        <w:rPr>
          <w:vertAlign w:val="subscript"/>
        </w:rPr>
        <w:t>2</w:t>
      </w:r>
      <w:r>
        <w:t>浓度基本处于低值范围，低浓度下传感器设备的响应不够明显，相关系数较低。因此增加指标说明</w:t>
      </w:r>
      <w:r>
        <w:t>“</w:t>
      </w:r>
      <w:r>
        <w:t>注：</w:t>
      </w:r>
      <w:r>
        <w:t>SO</w:t>
      </w:r>
      <w:r>
        <w:rPr>
          <w:vertAlign w:val="subscript"/>
        </w:rPr>
        <w:t>2</w:t>
      </w:r>
      <w:r>
        <w:t>浓度在</w:t>
      </w:r>
      <w:r>
        <w:t xml:space="preserve">10 nmol/mol </w:t>
      </w:r>
      <w:r>
        <w:t>以下时，该指标不作要求。</w:t>
      </w:r>
      <w:r>
        <w:t>”</w:t>
      </w:r>
    </w:p>
    <w:p w:rsidR="002210DD" w:rsidRDefault="00A205B8">
      <w:pPr>
        <w:spacing w:beforeLines="50" w:before="156"/>
        <w:ind w:firstLineChars="0" w:firstLine="0"/>
        <w:jc w:val="center"/>
        <w:rPr>
          <w:b/>
          <w:sz w:val="21"/>
        </w:rPr>
      </w:pPr>
      <w:r>
        <w:rPr>
          <w:b/>
          <w:sz w:val="21"/>
        </w:rPr>
        <w:t>表</w:t>
      </w:r>
      <w:r>
        <w:rPr>
          <w:b/>
          <w:sz w:val="21"/>
        </w:rPr>
        <w:t>5.5-1</w:t>
      </w:r>
      <w:r>
        <w:rPr>
          <w:rFonts w:hint="eastAsia"/>
          <w:b/>
          <w:sz w:val="21"/>
        </w:rPr>
        <w:t>1</w:t>
      </w:r>
      <w:r>
        <w:rPr>
          <w:b/>
          <w:sz w:val="21"/>
        </w:rPr>
        <w:t xml:space="preserve">  </w:t>
      </w:r>
      <w:r>
        <w:rPr>
          <w:b/>
          <w:sz w:val="21"/>
        </w:rPr>
        <w:t>监测系统设备相关性对比</w:t>
      </w:r>
    </w:p>
    <w:tbl>
      <w:tblPr>
        <w:tblW w:w="4997" w:type="pct"/>
        <w:tblCellMar>
          <w:left w:w="0" w:type="dxa"/>
          <w:right w:w="0" w:type="dxa"/>
        </w:tblCellMar>
        <w:tblLook w:val="04A0" w:firstRow="1" w:lastRow="0" w:firstColumn="1" w:lastColumn="0" w:noHBand="0" w:noVBand="1"/>
      </w:tblPr>
      <w:tblGrid>
        <w:gridCol w:w="1338"/>
        <w:gridCol w:w="1033"/>
        <w:gridCol w:w="1184"/>
        <w:gridCol w:w="1184"/>
        <w:gridCol w:w="1184"/>
        <w:gridCol w:w="1184"/>
        <w:gridCol w:w="1184"/>
      </w:tblGrid>
      <w:tr w:rsidR="002210DD">
        <w:trPr>
          <w:trHeight w:val="345"/>
        </w:trPr>
        <w:tc>
          <w:tcPr>
            <w:tcW w:w="1429"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规范名称</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SO</w:t>
            </w:r>
            <w:r>
              <w:rPr>
                <w:b/>
                <w:bCs/>
                <w:sz w:val="21"/>
                <w:vertAlign w:val="subscript"/>
              </w:rPr>
              <w:t>2</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NO</w:t>
            </w:r>
            <w:r>
              <w:rPr>
                <w:b/>
                <w:bCs/>
                <w:sz w:val="21"/>
                <w:vertAlign w:val="subscript"/>
              </w:rPr>
              <w:t>2</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NO</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O</w:t>
            </w:r>
            <w:r>
              <w:rPr>
                <w:b/>
                <w:bCs/>
                <w:sz w:val="21"/>
                <w:vertAlign w:val="subscript"/>
              </w:rPr>
              <w:t>3</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CO</w:t>
            </w:r>
          </w:p>
        </w:tc>
      </w:tr>
      <w:tr w:rsidR="002210DD">
        <w:trPr>
          <w:trHeight w:val="285"/>
        </w:trPr>
        <w:tc>
          <w:tcPr>
            <w:tcW w:w="1429"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国标</w:t>
            </w:r>
            <w:r>
              <w:rPr>
                <w:sz w:val="21"/>
              </w:rPr>
              <w:t>HJ654</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r>
      <w:tr w:rsidR="002210DD">
        <w:trPr>
          <w:trHeight w:val="285"/>
        </w:trPr>
        <w:tc>
          <w:tcPr>
            <w:tcW w:w="1429"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proofErr w:type="gramStart"/>
            <w:r>
              <w:rPr>
                <w:sz w:val="21"/>
              </w:rPr>
              <w:t>环办监测</w:t>
            </w:r>
            <w:proofErr w:type="gramEnd"/>
            <w:r>
              <w:rPr>
                <w:sz w:val="21"/>
              </w:rPr>
              <w:t>函</w:t>
            </w:r>
            <w:r>
              <w:rPr>
                <w:sz w:val="21"/>
              </w:rPr>
              <w:t>[2017] 2027</w:t>
            </w:r>
            <w:r>
              <w:rPr>
                <w:sz w:val="21"/>
              </w:rPr>
              <w:t>号</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≥0.85</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≥0.85</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≥0.85</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≥0.85</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≥0.85</w:t>
            </w:r>
          </w:p>
        </w:tc>
      </w:tr>
      <w:tr w:rsidR="002210DD">
        <w:trPr>
          <w:trHeight w:val="285"/>
        </w:trPr>
        <w:tc>
          <w:tcPr>
            <w:tcW w:w="1429"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地标</w:t>
            </w:r>
            <w:r>
              <w:rPr>
                <w:sz w:val="21"/>
              </w:rPr>
              <w:t>DB13/T2544</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≥0.80</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≥0.80</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≥0.80</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≥0.80</w:t>
            </w:r>
          </w:p>
        </w:tc>
      </w:tr>
      <w:tr w:rsidR="002210DD">
        <w:trPr>
          <w:trHeight w:val="285"/>
        </w:trPr>
        <w:tc>
          <w:tcPr>
            <w:tcW w:w="806" w:type="pct"/>
            <w:vMerge w:val="restar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比对测试结果</w:t>
            </w:r>
          </w:p>
        </w:tc>
        <w:tc>
          <w:tcPr>
            <w:tcW w:w="62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平均值</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0.20 </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0.73 </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1.00 </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0.71 </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0.76 </w:t>
            </w:r>
          </w:p>
        </w:tc>
      </w:tr>
      <w:tr w:rsidR="002210DD">
        <w:trPr>
          <w:trHeight w:val="285"/>
        </w:trPr>
        <w:tc>
          <w:tcPr>
            <w:tcW w:w="806" w:type="pct"/>
            <w:vMerge/>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sz w:val="21"/>
              </w:rPr>
            </w:pPr>
          </w:p>
        </w:tc>
        <w:tc>
          <w:tcPr>
            <w:tcW w:w="62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最小值</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-0.10 </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0.45 </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1.00 </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-0.04 </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0.12 </w:t>
            </w:r>
          </w:p>
        </w:tc>
      </w:tr>
      <w:tr w:rsidR="002210DD">
        <w:trPr>
          <w:trHeight w:val="285"/>
        </w:trPr>
        <w:tc>
          <w:tcPr>
            <w:tcW w:w="806" w:type="pct"/>
            <w:vMerge/>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sz w:val="21"/>
              </w:rPr>
            </w:pPr>
          </w:p>
        </w:tc>
        <w:tc>
          <w:tcPr>
            <w:tcW w:w="622"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最大值</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0.53 </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0.95 </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1.00 </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0.97 </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 xml:space="preserve">0.95 </w:t>
            </w:r>
          </w:p>
        </w:tc>
      </w:tr>
      <w:tr w:rsidR="002210DD">
        <w:trPr>
          <w:trHeight w:val="285"/>
        </w:trPr>
        <w:tc>
          <w:tcPr>
            <w:tcW w:w="1429"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本规范</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≥0.80</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≥0.80</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≥0.80</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≥0.80</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≥0.80</w:t>
            </w:r>
          </w:p>
        </w:tc>
      </w:tr>
    </w:tbl>
    <w:p w:rsidR="002210DD" w:rsidRDefault="00A205B8">
      <w:pPr>
        <w:pStyle w:val="3"/>
      </w:pPr>
      <w:r>
        <w:t>室外比对测量误差</w:t>
      </w:r>
    </w:p>
    <w:p w:rsidR="002210DD" w:rsidRDefault="00A205B8">
      <w:pPr>
        <w:ind w:firstLine="480"/>
      </w:pPr>
      <w:r>
        <w:t>O2</w:t>
      </w:r>
      <w:r>
        <w:t>、</w:t>
      </w:r>
      <w:r>
        <w:t>NO</w:t>
      </w:r>
      <w:r>
        <w:rPr>
          <w:vertAlign w:val="subscript"/>
        </w:rPr>
        <w:t>2</w:t>
      </w:r>
      <w:r>
        <w:t>、</w:t>
      </w:r>
      <w:r>
        <w:t>NO</w:t>
      </w:r>
      <w:r>
        <w:t>、</w:t>
      </w:r>
      <w:r>
        <w:t>O</w:t>
      </w:r>
      <w:r>
        <w:rPr>
          <w:vertAlign w:val="subscript"/>
        </w:rPr>
        <w:t>3</w:t>
      </w:r>
      <w:r>
        <w:t>、</w:t>
      </w:r>
      <w:r>
        <w:t>CO</w:t>
      </w:r>
      <w:r>
        <w:t>的室外测量误差应符合下表的要求。</w:t>
      </w:r>
    </w:p>
    <w:p w:rsidR="002210DD" w:rsidRDefault="00A205B8">
      <w:pPr>
        <w:pStyle w:val="a7"/>
        <w:widowControl/>
        <w:adjustRightInd w:val="0"/>
        <w:spacing w:before="156" w:afterLines="50" w:after="156" w:line="240" w:lineRule="auto"/>
      </w:pPr>
      <w:r>
        <w:t>表</w:t>
      </w:r>
      <w:r>
        <w:t>5.5-1</w:t>
      </w:r>
      <w:r>
        <w:rPr>
          <w:rFonts w:hint="eastAsia"/>
        </w:rPr>
        <w:t>2</w:t>
      </w:r>
      <w:r>
        <w:t xml:space="preserve"> </w:t>
      </w:r>
      <w:r>
        <w:t>传感器法监测设备室外比对测量误差</w:t>
      </w:r>
    </w:p>
    <w:tbl>
      <w:tblPr>
        <w:tblStyle w:val="a6"/>
        <w:tblW w:w="0" w:type="auto"/>
        <w:tblLook w:val="04A0" w:firstRow="1" w:lastRow="0" w:firstColumn="1" w:lastColumn="0" w:noHBand="0" w:noVBand="1"/>
      </w:tblPr>
      <w:tblGrid>
        <w:gridCol w:w="2753"/>
        <w:gridCol w:w="2772"/>
        <w:gridCol w:w="2771"/>
      </w:tblGrid>
      <w:tr w:rsidR="002210DD">
        <w:tc>
          <w:tcPr>
            <w:tcW w:w="2840" w:type="dxa"/>
            <w:vAlign w:val="center"/>
          </w:tcPr>
          <w:p w:rsidR="002210DD" w:rsidRDefault="00A205B8">
            <w:pPr>
              <w:pStyle w:val="a8"/>
              <w:tabs>
                <w:tab w:val="left" w:pos="420"/>
              </w:tabs>
            </w:pPr>
            <w:bookmarkStart w:id="1" w:name="OLE_LINK1"/>
            <w:r>
              <w:lastRenderedPageBreak/>
              <w:t>监测项目</w:t>
            </w:r>
          </w:p>
        </w:tc>
        <w:tc>
          <w:tcPr>
            <w:tcW w:w="2841" w:type="dxa"/>
            <w:vAlign w:val="center"/>
          </w:tcPr>
          <w:p w:rsidR="002210DD" w:rsidRDefault="00A205B8">
            <w:pPr>
              <w:pStyle w:val="a8"/>
              <w:tabs>
                <w:tab w:val="left" w:pos="420"/>
              </w:tabs>
            </w:pPr>
            <w:r>
              <w:t>浓度范围</w:t>
            </w:r>
          </w:p>
        </w:tc>
        <w:tc>
          <w:tcPr>
            <w:tcW w:w="2841" w:type="dxa"/>
            <w:vAlign w:val="center"/>
          </w:tcPr>
          <w:p w:rsidR="002210DD" w:rsidRDefault="00A205B8">
            <w:pPr>
              <w:pStyle w:val="a8"/>
              <w:tabs>
                <w:tab w:val="left" w:pos="420"/>
              </w:tabs>
            </w:pPr>
            <w:r>
              <w:t>测量误差</w:t>
            </w:r>
          </w:p>
        </w:tc>
      </w:tr>
      <w:tr w:rsidR="002210DD">
        <w:tc>
          <w:tcPr>
            <w:tcW w:w="2840" w:type="dxa"/>
            <w:vMerge w:val="restart"/>
            <w:vAlign w:val="center"/>
          </w:tcPr>
          <w:p w:rsidR="002210DD" w:rsidRDefault="00A205B8">
            <w:pPr>
              <w:pStyle w:val="a8"/>
              <w:tabs>
                <w:tab w:val="left" w:pos="420"/>
              </w:tabs>
            </w:pPr>
            <w:r>
              <w:t>SO</w:t>
            </w:r>
            <w:r>
              <w:rPr>
                <w:vertAlign w:val="subscript"/>
              </w:rPr>
              <w:t>2</w:t>
            </w:r>
          </w:p>
        </w:tc>
        <w:tc>
          <w:tcPr>
            <w:tcW w:w="2841" w:type="dxa"/>
            <w:vAlign w:val="center"/>
          </w:tcPr>
          <w:p w:rsidR="002210DD" w:rsidRDefault="00A205B8">
            <w:pPr>
              <w:pStyle w:val="a8"/>
              <w:tabs>
                <w:tab w:val="left" w:pos="420"/>
              </w:tabs>
            </w:pPr>
            <w:r>
              <w:t>0~100 nmol/mol</w:t>
            </w:r>
          </w:p>
        </w:tc>
        <w:tc>
          <w:tcPr>
            <w:tcW w:w="2841" w:type="dxa"/>
            <w:vAlign w:val="center"/>
          </w:tcPr>
          <w:p w:rsidR="002210DD" w:rsidRDefault="00A205B8">
            <w:pPr>
              <w:pStyle w:val="a8"/>
              <w:tabs>
                <w:tab w:val="left" w:pos="420"/>
              </w:tabs>
            </w:pPr>
            <w:r>
              <w:t>±10 nmol/mol</w:t>
            </w:r>
          </w:p>
        </w:tc>
      </w:tr>
      <w:tr w:rsidR="002210DD">
        <w:tc>
          <w:tcPr>
            <w:tcW w:w="2840" w:type="dxa"/>
            <w:vMerge/>
            <w:vAlign w:val="center"/>
          </w:tcPr>
          <w:p w:rsidR="002210DD" w:rsidRDefault="002210DD">
            <w:pPr>
              <w:pStyle w:val="a8"/>
              <w:tabs>
                <w:tab w:val="left" w:pos="420"/>
              </w:tabs>
            </w:pPr>
          </w:p>
        </w:tc>
        <w:tc>
          <w:tcPr>
            <w:tcW w:w="2841" w:type="dxa"/>
            <w:vAlign w:val="center"/>
          </w:tcPr>
          <w:p w:rsidR="002210DD" w:rsidRDefault="00A205B8">
            <w:pPr>
              <w:pStyle w:val="a8"/>
              <w:tabs>
                <w:tab w:val="left" w:pos="420"/>
              </w:tabs>
            </w:pPr>
            <w:r>
              <w:t>100~500 nmol/mol</w:t>
            </w:r>
          </w:p>
        </w:tc>
        <w:tc>
          <w:tcPr>
            <w:tcW w:w="2841" w:type="dxa"/>
            <w:vAlign w:val="center"/>
          </w:tcPr>
          <w:p w:rsidR="002210DD" w:rsidRDefault="00A205B8">
            <w:pPr>
              <w:pStyle w:val="a8"/>
              <w:tabs>
                <w:tab w:val="left" w:pos="420"/>
              </w:tabs>
            </w:pPr>
            <w:r>
              <w:t>±10%</w:t>
            </w:r>
          </w:p>
        </w:tc>
      </w:tr>
      <w:tr w:rsidR="002210DD">
        <w:tc>
          <w:tcPr>
            <w:tcW w:w="2840" w:type="dxa"/>
            <w:vMerge w:val="restart"/>
            <w:vAlign w:val="center"/>
          </w:tcPr>
          <w:p w:rsidR="002210DD" w:rsidRDefault="00A205B8">
            <w:pPr>
              <w:pStyle w:val="a8"/>
              <w:tabs>
                <w:tab w:val="left" w:pos="420"/>
              </w:tabs>
            </w:pPr>
            <w:r>
              <w:t>O</w:t>
            </w:r>
            <w:r>
              <w:rPr>
                <w:vertAlign w:val="subscript"/>
              </w:rPr>
              <w:t>3</w:t>
            </w:r>
          </w:p>
        </w:tc>
        <w:tc>
          <w:tcPr>
            <w:tcW w:w="2841" w:type="dxa"/>
            <w:vAlign w:val="center"/>
          </w:tcPr>
          <w:p w:rsidR="002210DD" w:rsidRDefault="00A205B8">
            <w:pPr>
              <w:pStyle w:val="a8"/>
              <w:tabs>
                <w:tab w:val="left" w:pos="420"/>
              </w:tabs>
            </w:pPr>
            <w:r>
              <w:t>0~100 nmol/mol</w:t>
            </w:r>
          </w:p>
        </w:tc>
        <w:tc>
          <w:tcPr>
            <w:tcW w:w="2841" w:type="dxa"/>
            <w:vAlign w:val="center"/>
          </w:tcPr>
          <w:p w:rsidR="002210DD" w:rsidRDefault="00A205B8">
            <w:pPr>
              <w:pStyle w:val="a8"/>
              <w:tabs>
                <w:tab w:val="left" w:pos="420"/>
              </w:tabs>
            </w:pPr>
            <w:r>
              <w:t>±10 nmol/mol</w:t>
            </w:r>
          </w:p>
        </w:tc>
      </w:tr>
      <w:tr w:rsidR="002210DD">
        <w:tc>
          <w:tcPr>
            <w:tcW w:w="2840" w:type="dxa"/>
            <w:vMerge/>
            <w:vAlign w:val="center"/>
          </w:tcPr>
          <w:p w:rsidR="002210DD" w:rsidRDefault="002210DD">
            <w:pPr>
              <w:pStyle w:val="a8"/>
              <w:tabs>
                <w:tab w:val="left" w:pos="420"/>
              </w:tabs>
            </w:pPr>
          </w:p>
        </w:tc>
        <w:tc>
          <w:tcPr>
            <w:tcW w:w="2841" w:type="dxa"/>
            <w:vAlign w:val="center"/>
          </w:tcPr>
          <w:p w:rsidR="002210DD" w:rsidRDefault="00A205B8">
            <w:pPr>
              <w:pStyle w:val="a8"/>
              <w:tabs>
                <w:tab w:val="left" w:pos="420"/>
              </w:tabs>
            </w:pPr>
            <w:r>
              <w:t>100~500 nmol/mol</w:t>
            </w:r>
          </w:p>
        </w:tc>
        <w:tc>
          <w:tcPr>
            <w:tcW w:w="2841" w:type="dxa"/>
            <w:vAlign w:val="center"/>
          </w:tcPr>
          <w:p w:rsidR="002210DD" w:rsidRDefault="00A205B8">
            <w:pPr>
              <w:pStyle w:val="a8"/>
              <w:tabs>
                <w:tab w:val="left" w:pos="420"/>
              </w:tabs>
            </w:pPr>
            <w:r>
              <w:t>±10%</w:t>
            </w:r>
          </w:p>
        </w:tc>
      </w:tr>
      <w:tr w:rsidR="002210DD">
        <w:tc>
          <w:tcPr>
            <w:tcW w:w="2840" w:type="dxa"/>
            <w:vMerge w:val="restart"/>
            <w:vAlign w:val="center"/>
          </w:tcPr>
          <w:p w:rsidR="002210DD" w:rsidRDefault="00A205B8">
            <w:pPr>
              <w:pStyle w:val="a8"/>
              <w:tabs>
                <w:tab w:val="left" w:pos="420"/>
              </w:tabs>
            </w:pPr>
            <w:r>
              <w:t>NO</w:t>
            </w:r>
            <w:r>
              <w:rPr>
                <w:vertAlign w:val="subscript"/>
              </w:rPr>
              <w:t>2</w:t>
            </w:r>
          </w:p>
        </w:tc>
        <w:tc>
          <w:tcPr>
            <w:tcW w:w="2841" w:type="dxa"/>
            <w:vAlign w:val="center"/>
          </w:tcPr>
          <w:p w:rsidR="002210DD" w:rsidRDefault="00A205B8">
            <w:pPr>
              <w:pStyle w:val="a8"/>
              <w:tabs>
                <w:tab w:val="left" w:pos="420"/>
              </w:tabs>
            </w:pPr>
            <w:r>
              <w:t>0~100 nmol/mol</w:t>
            </w:r>
          </w:p>
        </w:tc>
        <w:tc>
          <w:tcPr>
            <w:tcW w:w="2841" w:type="dxa"/>
            <w:vAlign w:val="center"/>
          </w:tcPr>
          <w:p w:rsidR="002210DD" w:rsidRDefault="00A205B8">
            <w:pPr>
              <w:pStyle w:val="a8"/>
              <w:tabs>
                <w:tab w:val="left" w:pos="420"/>
              </w:tabs>
            </w:pPr>
            <w:r>
              <w:t>±10 nmol/mol</w:t>
            </w:r>
          </w:p>
        </w:tc>
      </w:tr>
      <w:tr w:rsidR="002210DD">
        <w:tc>
          <w:tcPr>
            <w:tcW w:w="2840" w:type="dxa"/>
            <w:vMerge/>
            <w:vAlign w:val="center"/>
          </w:tcPr>
          <w:p w:rsidR="002210DD" w:rsidRDefault="002210DD">
            <w:pPr>
              <w:pStyle w:val="a8"/>
              <w:tabs>
                <w:tab w:val="left" w:pos="420"/>
              </w:tabs>
            </w:pPr>
          </w:p>
        </w:tc>
        <w:tc>
          <w:tcPr>
            <w:tcW w:w="2841" w:type="dxa"/>
            <w:vAlign w:val="center"/>
          </w:tcPr>
          <w:p w:rsidR="002210DD" w:rsidRDefault="00A205B8">
            <w:pPr>
              <w:pStyle w:val="a8"/>
              <w:tabs>
                <w:tab w:val="left" w:pos="420"/>
              </w:tabs>
            </w:pPr>
            <w:r>
              <w:t>100~1000 nmol/mol</w:t>
            </w:r>
          </w:p>
        </w:tc>
        <w:tc>
          <w:tcPr>
            <w:tcW w:w="2841" w:type="dxa"/>
            <w:vAlign w:val="center"/>
          </w:tcPr>
          <w:p w:rsidR="002210DD" w:rsidRDefault="00A205B8">
            <w:pPr>
              <w:pStyle w:val="a8"/>
              <w:tabs>
                <w:tab w:val="left" w:pos="420"/>
              </w:tabs>
            </w:pPr>
            <w:r>
              <w:t>±10%</w:t>
            </w:r>
          </w:p>
        </w:tc>
      </w:tr>
      <w:tr w:rsidR="002210DD">
        <w:tc>
          <w:tcPr>
            <w:tcW w:w="2840" w:type="dxa"/>
            <w:vMerge w:val="restart"/>
            <w:vAlign w:val="center"/>
          </w:tcPr>
          <w:p w:rsidR="002210DD" w:rsidRDefault="00A205B8">
            <w:pPr>
              <w:pStyle w:val="a8"/>
              <w:tabs>
                <w:tab w:val="left" w:pos="420"/>
              </w:tabs>
            </w:pPr>
            <w:r>
              <w:t>NO</w:t>
            </w:r>
          </w:p>
        </w:tc>
        <w:tc>
          <w:tcPr>
            <w:tcW w:w="2841" w:type="dxa"/>
            <w:vAlign w:val="center"/>
          </w:tcPr>
          <w:p w:rsidR="002210DD" w:rsidRDefault="00A205B8">
            <w:pPr>
              <w:pStyle w:val="a8"/>
              <w:tabs>
                <w:tab w:val="left" w:pos="420"/>
              </w:tabs>
            </w:pPr>
            <w:r>
              <w:t>0~100 nmol/mol</w:t>
            </w:r>
          </w:p>
        </w:tc>
        <w:tc>
          <w:tcPr>
            <w:tcW w:w="2841" w:type="dxa"/>
            <w:vAlign w:val="center"/>
          </w:tcPr>
          <w:p w:rsidR="002210DD" w:rsidRDefault="00A205B8">
            <w:pPr>
              <w:pStyle w:val="a8"/>
              <w:tabs>
                <w:tab w:val="left" w:pos="420"/>
              </w:tabs>
            </w:pPr>
            <w:r>
              <w:t>±10 nmol/mol</w:t>
            </w:r>
          </w:p>
        </w:tc>
      </w:tr>
      <w:tr w:rsidR="002210DD">
        <w:tc>
          <w:tcPr>
            <w:tcW w:w="2840" w:type="dxa"/>
            <w:vMerge/>
            <w:vAlign w:val="center"/>
          </w:tcPr>
          <w:p w:rsidR="002210DD" w:rsidRDefault="002210DD">
            <w:pPr>
              <w:pStyle w:val="a8"/>
              <w:tabs>
                <w:tab w:val="left" w:pos="420"/>
              </w:tabs>
            </w:pPr>
          </w:p>
        </w:tc>
        <w:tc>
          <w:tcPr>
            <w:tcW w:w="2841" w:type="dxa"/>
            <w:vAlign w:val="center"/>
          </w:tcPr>
          <w:p w:rsidR="002210DD" w:rsidRDefault="00A205B8">
            <w:pPr>
              <w:pStyle w:val="a8"/>
              <w:tabs>
                <w:tab w:val="left" w:pos="420"/>
              </w:tabs>
            </w:pPr>
            <w:r>
              <w:t>100~2000 nmol/mol</w:t>
            </w:r>
          </w:p>
        </w:tc>
        <w:tc>
          <w:tcPr>
            <w:tcW w:w="2841" w:type="dxa"/>
            <w:vAlign w:val="center"/>
          </w:tcPr>
          <w:p w:rsidR="002210DD" w:rsidRDefault="00A205B8">
            <w:pPr>
              <w:pStyle w:val="a8"/>
              <w:tabs>
                <w:tab w:val="left" w:pos="420"/>
              </w:tabs>
            </w:pPr>
            <w:r>
              <w:t>±10%</w:t>
            </w:r>
          </w:p>
        </w:tc>
      </w:tr>
      <w:tr w:rsidR="002210DD">
        <w:tc>
          <w:tcPr>
            <w:tcW w:w="2840" w:type="dxa"/>
            <w:vMerge w:val="restart"/>
            <w:vAlign w:val="center"/>
          </w:tcPr>
          <w:p w:rsidR="002210DD" w:rsidRDefault="00A205B8">
            <w:pPr>
              <w:pStyle w:val="a8"/>
              <w:tabs>
                <w:tab w:val="left" w:pos="420"/>
              </w:tabs>
            </w:pPr>
            <w:r>
              <w:t>CO</w:t>
            </w:r>
          </w:p>
        </w:tc>
        <w:tc>
          <w:tcPr>
            <w:tcW w:w="2841" w:type="dxa"/>
            <w:vAlign w:val="center"/>
          </w:tcPr>
          <w:p w:rsidR="002210DD" w:rsidRDefault="00A205B8">
            <w:pPr>
              <w:pStyle w:val="a8"/>
              <w:tabs>
                <w:tab w:val="left" w:pos="420"/>
              </w:tabs>
            </w:pPr>
            <w:r>
              <w:t>0~10 μmol/mol</w:t>
            </w:r>
          </w:p>
        </w:tc>
        <w:tc>
          <w:tcPr>
            <w:tcW w:w="2841" w:type="dxa"/>
            <w:vAlign w:val="center"/>
          </w:tcPr>
          <w:p w:rsidR="002210DD" w:rsidRDefault="00A205B8">
            <w:pPr>
              <w:pStyle w:val="a8"/>
              <w:tabs>
                <w:tab w:val="left" w:pos="420"/>
              </w:tabs>
            </w:pPr>
            <w:r>
              <w:t>±1 μmol/mol</w:t>
            </w:r>
          </w:p>
        </w:tc>
      </w:tr>
      <w:tr w:rsidR="002210DD">
        <w:tc>
          <w:tcPr>
            <w:tcW w:w="2840" w:type="dxa"/>
            <w:vMerge/>
            <w:vAlign w:val="center"/>
          </w:tcPr>
          <w:p w:rsidR="002210DD" w:rsidRDefault="002210DD">
            <w:pPr>
              <w:pStyle w:val="a8"/>
              <w:tabs>
                <w:tab w:val="left" w:pos="420"/>
              </w:tabs>
            </w:pPr>
          </w:p>
        </w:tc>
        <w:tc>
          <w:tcPr>
            <w:tcW w:w="2841" w:type="dxa"/>
            <w:vAlign w:val="center"/>
          </w:tcPr>
          <w:p w:rsidR="002210DD" w:rsidRDefault="00A205B8">
            <w:pPr>
              <w:pStyle w:val="a8"/>
              <w:tabs>
                <w:tab w:val="left" w:pos="420"/>
              </w:tabs>
            </w:pPr>
            <w:r>
              <w:t>10~50 μmol/mol</w:t>
            </w:r>
          </w:p>
        </w:tc>
        <w:tc>
          <w:tcPr>
            <w:tcW w:w="2841" w:type="dxa"/>
            <w:vAlign w:val="center"/>
          </w:tcPr>
          <w:p w:rsidR="002210DD" w:rsidRDefault="00A205B8">
            <w:pPr>
              <w:pStyle w:val="a8"/>
              <w:tabs>
                <w:tab w:val="left" w:pos="420"/>
              </w:tabs>
            </w:pPr>
            <w:r>
              <w:t>±10%</w:t>
            </w:r>
          </w:p>
        </w:tc>
      </w:tr>
    </w:tbl>
    <w:bookmarkEnd w:id="1"/>
    <w:p w:rsidR="002210DD" w:rsidRDefault="00A205B8">
      <w:pPr>
        <w:ind w:firstLineChars="0" w:firstLine="0"/>
      </w:pPr>
      <w:r>
        <w:t>。</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53"/>
        <w:gridCol w:w="4153"/>
      </w:tblGrid>
      <w:tr w:rsidR="002210DD">
        <w:tc>
          <w:tcPr>
            <w:tcW w:w="4261" w:type="dxa"/>
          </w:tcPr>
          <w:p w:rsidR="002210DD" w:rsidRDefault="00A205B8">
            <w:pPr>
              <w:pStyle w:val="a8"/>
            </w:pPr>
            <w:r>
              <w:rPr>
                <w:noProof/>
              </w:rPr>
              <w:drawing>
                <wp:inline distT="0" distB="0" distL="114300" distR="114300">
                  <wp:extent cx="2562225" cy="1963420"/>
                  <wp:effectExtent l="0" t="0" r="9525" b="17780"/>
                  <wp:docPr id="38" name="图片 27" descr="SO2相对误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7" descr="SO2相对误差"/>
                          <pic:cNvPicPr>
                            <a:picLocks noChangeAspect="1"/>
                          </pic:cNvPicPr>
                        </pic:nvPicPr>
                        <pic:blipFill>
                          <a:blip r:embed="rId40"/>
                          <a:stretch>
                            <a:fillRect/>
                          </a:stretch>
                        </pic:blipFill>
                        <pic:spPr>
                          <a:xfrm>
                            <a:off x="0" y="0"/>
                            <a:ext cx="2562225" cy="1963420"/>
                          </a:xfrm>
                          <a:prstGeom prst="rect">
                            <a:avLst/>
                          </a:prstGeom>
                          <a:noFill/>
                          <a:ln>
                            <a:noFill/>
                          </a:ln>
                        </pic:spPr>
                      </pic:pic>
                    </a:graphicData>
                  </a:graphic>
                </wp:inline>
              </w:drawing>
            </w:r>
          </w:p>
        </w:tc>
        <w:tc>
          <w:tcPr>
            <w:tcW w:w="4261" w:type="dxa"/>
          </w:tcPr>
          <w:p w:rsidR="002210DD" w:rsidRDefault="00A205B8">
            <w:pPr>
              <w:pStyle w:val="a8"/>
            </w:pPr>
            <w:r>
              <w:rPr>
                <w:noProof/>
              </w:rPr>
              <w:drawing>
                <wp:inline distT="0" distB="0" distL="114300" distR="114300">
                  <wp:extent cx="2560955" cy="1950720"/>
                  <wp:effectExtent l="0" t="0" r="10795" b="11430"/>
                  <wp:docPr id="39" name="图片 28" descr="CO相对误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8" descr="CO相对误差"/>
                          <pic:cNvPicPr>
                            <a:picLocks noChangeAspect="1"/>
                          </pic:cNvPicPr>
                        </pic:nvPicPr>
                        <pic:blipFill>
                          <a:blip r:embed="rId41"/>
                          <a:stretch>
                            <a:fillRect/>
                          </a:stretch>
                        </pic:blipFill>
                        <pic:spPr>
                          <a:xfrm>
                            <a:off x="0" y="0"/>
                            <a:ext cx="2560955" cy="1950720"/>
                          </a:xfrm>
                          <a:prstGeom prst="rect">
                            <a:avLst/>
                          </a:prstGeom>
                          <a:noFill/>
                          <a:ln>
                            <a:noFill/>
                          </a:ln>
                        </pic:spPr>
                      </pic:pic>
                    </a:graphicData>
                  </a:graphic>
                </wp:inline>
              </w:drawing>
            </w:r>
          </w:p>
        </w:tc>
      </w:tr>
      <w:tr w:rsidR="002210DD">
        <w:tc>
          <w:tcPr>
            <w:tcW w:w="4261" w:type="dxa"/>
          </w:tcPr>
          <w:p w:rsidR="002210DD" w:rsidRDefault="00A205B8">
            <w:pPr>
              <w:pStyle w:val="a8"/>
            </w:pPr>
            <w:r>
              <w:rPr>
                <w:noProof/>
              </w:rPr>
              <w:drawing>
                <wp:inline distT="0" distB="0" distL="114300" distR="114300">
                  <wp:extent cx="2566035" cy="2066290"/>
                  <wp:effectExtent l="0" t="0" r="5715" b="10160"/>
                  <wp:docPr id="40" name="图片 29" descr="NO2相对误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9" descr="NO2相对误差"/>
                          <pic:cNvPicPr>
                            <a:picLocks noChangeAspect="1"/>
                          </pic:cNvPicPr>
                        </pic:nvPicPr>
                        <pic:blipFill>
                          <a:blip r:embed="rId42"/>
                          <a:stretch>
                            <a:fillRect/>
                          </a:stretch>
                        </pic:blipFill>
                        <pic:spPr>
                          <a:xfrm>
                            <a:off x="0" y="0"/>
                            <a:ext cx="2566035" cy="2066290"/>
                          </a:xfrm>
                          <a:prstGeom prst="rect">
                            <a:avLst/>
                          </a:prstGeom>
                          <a:noFill/>
                          <a:ln>
                            <a:noFill/>
                          </a:ln>
                        </pic:spPr>
                      </pic:pic>
                    </a:graphicData>
                  </a:graphic>
                </wp:inline>
              </w:drawing>
            </w:r>
          </w:p>
        </w:tc>
        <w:tc>
          <w:tcPr>
            <w:tcW w:w="4261" w:type="dxa"/>
          </w:tcPr>
          <w:p w:rsidR="002210DD" w:rsidRDefault="00A205B8">
            <w:pPr>
              <w:pStyle w:val="a8"/>
            </w:pPr>
            <w:r>
              <w:rPr>
                <w:noProof/>
              </w:rPr>
              <w:drawing>
                <wp:inline distT="0" distB="0" distL="114300" distR="114300">
                  <wp:extent cx="2566035" cy="2040890"/>
                  <wp:effectExtent l="0" t="0" r="5715" b="16510"/>
                  <wp:docPr id="41" name="图片 30" descr="O3相对误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0" descr="O3相对误差"/>
                          <pic:cNvPicPr>
                            <a:picLocks noChangeAspect="1"/>
                          </pic:cNvPicPr>
                        </pic:nvPicPr>
                        <pic:blipFill>
                          <a:blip r:embed="rId43"/>
                          <a:stretch>
                            <a:fillRect/>
                          </a:stretch>
                        </pic:blipFill>
                        <pic:spPr>
                          <a:xfrm>
                            <a:off x="0" y="0"/>
                            <a:ext cx="2566035" cy="2040890"/>
                          </a:xfrm>
                          <a:prstGeom prst="rect">
                            <a:avLst/>
                          </a:prstGeom>
                          <a:noFill/>
                          <a:ln>
                            <a:noFill/>
                          </a:ln>
                        </pic:spPr>
                      </pic:pic>
                    </a:graphicData>
                  </a:graphic>
                </wp:inline>
              </w:drawing>
            </w:r>
          </w:p>
        </w:tc>
      </w:tr>
    </w:tbl>
    <w:p w:rsidR="002210DD" w:rsidRDefault="00A205B8">
      <w:pPr>
        <w:pStyle w:val="a9"/>
        <w:spacing w:after="156"/>
      </w:pPr>
      <w:r>
        <w:t>图</w:t>
      </w:r>
      <w:r>
        <w:t xml:space="preserve">5.5-9  </w:t>
      </w:r>
      <w:r>
        <w:rPr>
          <w:color w:val="000000"/>
        </w:rPr>
        <w:t>室外比对测量相对误差调研结果</w:t>
      </w:r>
    </w:p>
    <w:p w:rsidR="002210DD" w:rsidRDefault="00A205B8">
      <w:pPr>
        <w:ind w:firstLine="480"/>
      </w:pPr>
      <w:r>
        <w:t>已有规范中，《大气</w:t>
      </w:r>
      <w:r>
        <w:t>PM</w:t>
      </w:r>
      <w:r>
        <w:rPr>
          <w:vertAlign w:val="subscript"/>
        </w:rPr>
        <w:t>2.5</w:t>
      </w:r>
      <w:r>
        <w:t>网格化监测技术要求和检测方法技术规范》（</w:t>
      </w:r>
      <w:proofErr w:type="gramStart"/>
      <w:r>
        <w:t>环办监测</w:t>
      </w:r>
      <w:proofErr w:type="gramEnd"/>
      <w:r>
        <w:t>函</w:t>
      </w:r>
      <w:r>
        <w:t xml:space="preserve"> [2017] 2027</w:t>
      </w:r>
      <w:r>
        <w:t>号）对颗粒物</w:t>
      </w:r>
      <w:r>
        <w:t>PM</w:t>
      </w:r>
      <w:r>
        <w:rPr>
          <w:vertAlign w:val="subscript"/>
        </w:rPr>
        <w:t>2.5</w:t>
      </w:r>
      <w:r>
        <w:t>的网格化监测设备的测量误差</w:t>
      </w:r>
      <w:proofErr w:type="gramStart"/>
      <w:r>
        <w:t>作出</w:t>
      </w:r>
      <w:proofErr w:type="gramEnd"/>
      <w:r>
        <w:t>了规定，要求</w:t>
      </w:r>
      <w:r>
        <w:t>“</w:t>
      </w:r>
      <w:r>
        <w:t>测量误差不大于</w:t>
      </w:r>
      <w:r>
        <w:t>±10%”</w:t>
      </w:r>
      <w:r>
        <w:t>；《大气污染防治网格化监测系统技术要求及检测方法》（</w:t>
      </w:r>
      <w:r>
        <w:t>DB13/T 2544—2017</w:t>
      </w:r>
      <w:r>
        <w:t>）对气态污染物（</w:t>
      </w:r>
      <w:r>
        <w:t>SO</w:t>
      </w:r>
      <w:r>
        <w:rPr>
          <w:vertAlign w:val="subscript"/>
        </w:rPr>
        <w:t>2</w:t>
      </w:r>
      <w:r>
        <w:t>、</w:t>
      </w:r>
      <w:r>
        <w:t>NO</w:t>
      </w:r>
      <w:r>
        <w:rPr>
          <w:vertAlign w:val="subscript"/>
        </w:rPr>
        <w:t>2</w:t>
      </w:r>
      <w:r>
        <w:t>、</w:t>
      </w:r>
      <w:r>
        <w:t>O</w:t>
      </w:r>
      <w:r>
        <w:rPr>
          <w:vertAlign w:val="subscript"/>
        </w:rPr>
        <w:t>3</w:t>
      </w:r>
      <w:r>
        <w:t>、</w:t>
      </w:r>
      <w:r>
        <w:t>CO</w:t>
      </w:r>
      <w:r>
        <w:t>）的网格化监测设备</w:t>
      </w:r>
      <w:proofErr w:type="gramStart"/>
      <w:r>
        <w:t>作出</w:t>
      </w:r>
      <w:proofErr w:type="gramEnd"/>
      <w:r>
        <w:t>了规定，要求微型空气监测站室外测试时</w:t>
      </w:r>
      <w:r>
        <w:t>“SO</w:t>
      </w:r>
      <w:r>
        <w:rPr>
          <w:vertAlign w:val="subscript"/>
        </w:rPr>
        <w:t>2</w:t>
      </w:r>
      <w:r>
        <w:t>、</w:t>
      </w:r>
      <w:r>
        <w:t>NO</w:t>
      </w:r>
      <w:r>
        <w:rPr>
          <w:vertAlign w:val="subscript"/>
        </w:rPr>
        <w:t>2</w:t>
      </w:r>
      <w:r>
        <w:t>、</w:t>
      </w:r>
      <w:r>
        <w:t>O2</w:t>
      </w:r>
      <w:r>
        <w:t>在</w:t>
      </w:r>
      <w:r>
        <w:t xml:space="preserve">0~100 </w:t>
      </w:r>
      <w:r>
        <w:lastRenderedPageBreak/>
        <w:t>nmol/mol</w:t>
      </w:r>
      <w:r>
        <w:t>范围时，测量误差不大于</w:t>
      </w:r>
      <w:r>
        <w:t>±20 nmol/mol</w:t>
      </w:r>
      <w:r>
        <w:t>；在</w:t>
      </w:r>
      <w:r>
        <w:t>100~500 nmol/mol</w:t>
      </w:r>
      <w:r>
        <w:t>范围时，测量误差不大于</w:t>
      </w:r>
      <w:r>
        <w:t>±20 %</w:t>
      </w:r>
      <w:r>
        <w:t>。</w:t>
      </w:r>
      <w:r>
        <w:t>CO</w:t>
      </w:r>
      <w:r>
        <w:t>在</w:t>
      </w:r>
      <w:r>
        <w:t>0~10 μmol/mol</w:t>
      </w:r>
      <w:r>
        <w:t>范围时，测量误差不大于</w:t>
      </w:r>
      <w:r>
        <w:t>±2.0 μmol/mol</w:t>
      </w:r>
      <w:r>
        <w:t>；在</w:t>
      </w:r>
      <w:r>
        <w:t>10~50 μmol/mol</w:t>
      </w:r>
      <w:r>
        <w:t>范围时，测量误差不大于</w:t>
      </w:r>
      <w:r>
        <w:t>±20%”</w:t>
      </w:r>
      <w:r>
        <w:t>。</w:t>
      </w:r>
      <w:r>
        <w:rPr>
          <w:rFonts w:hint="eastAsia"/>
        </w:rPr>
        <w:t>本规范</w:t>
      </w:r>
      <w:r>
        <w:t>要求</w:t>
      </w:r>
      <w:r>
        <w:t>SO</w:t>
      </w:r>
      <w:r>
        <w:rPr>
          <w:vertAlign w:val="subscript"/>
        </w:rPr>
        <w:t>2</w:t>
      </w:r>
      <w:r>
        <w:t>、</w:t>
      </w:r>
      <w:r>
        <w:t>NO</w:t>
      </w:r>
      <w:r>
        <w:rPr>
          <w:vertAlign w:val="subscript"/>
        </w:rPr>
        <w:t>2</w:t>
      </w:r>
      <w:r>
        <w:t>、</w:t>
      </w:r>
      <w:r>
        <w:t>NO</w:t>
      </w:r>
      <w:r>
        <w:t>、</w:t>
      </w:r>
      <w:r>
        <w:t>O</w:t>
      </w:r>
      <w:r>
        <w:rPr>
          <w:vertAlign w:val="subscript"/>
        </w:rPr>
        <w:t>3</w:t>
      </w:r>
      <w:r>
        <w:t>、</w:t>
      </w:r>
      <w:r>
        <w:t>CO</w:t>
      </w:r>
      <w:r>
        <w:t>的测量误差在低浓度段按绝对误差计算，在高浓度段用相对误差计算，鉴于实测误差较低且该指标在实际应用中较为关键，测量误差相对河北地标有所控制。</w:t>
      </w:r>
    </w:p>
    <w:p w:rsidR="002210DD" w:rsidRDefault="00A205B8">
      <w:pPr>
        <w:pStyle w:val="a7"/>
        <w:spacing w:before="156"/>
      </w:pPr>
      <w:r>
        <w:t>表</w:t>
      </w:r>
      <w:r>
        <w:t>5.5-1</w:t>
      </w:r>
      <w:r>
        <w:rPr>
          <w:rFonts w:hint="eastAsia"/>
        </w:rPr>
        <w:t>3</w:t>
      </w:r>
      <w:r>
        <w:t xml:space="preserve">  </w:t>
      </w:r>
      <w:r>
        <w:t>测量误差对比</w:t>
      </w:r>
    </w:p>
    <w:tbl>
      <w:tblPr>
        <w:tblW w:w="4997" w:type="pct"/>
        <w:tblCellMar>
          <w:left w:w="0" w:type="dxa"/>
          <w:right w:w="0" w:type="dxa"/>
        </w:tblCellMar>
        <w:tblLook w:val="04A0" w:firstRow="1" w:lastRow="0" w:firstColumn="1" w:lastColumn="0" w:noHBand="0" w:noVBand="1"/>
      </w:tblPr>
      <w:tblGrid>
        <w:gridCol w:w="1367"/>
        <w:gridCol w:w="2638"/>
        <w:gridCol w:w="857"/>
        <w:gridCol w:w="858"/>
        <w:gridCol w:w="857"/>
        <w:gridCol w:w="857"/>
        <w:gridCol w:w="857"/>
      </w:tblGrid>
      <w:tr w:rsidR="002210DD">
        <w:trPr>
          <w:trHeight w:val="285"/>
        </w:trPr>
        <w:tc>
          <w:tcPr>
            <w:tcW w:w="82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规范名称</w:t>
            </w:r>
          </w:p>
        </w:tc>
        <w:tc>
          <w:tcPr>
            <w:tcW w:w="1589"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浓度范围</w:t>
            </w:r>
          </w:p>
        </w:tc>
        <w:tc>
          <w:tcPr>
            <w:tcW w:w="516"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SO</w:t>
            </w:r>
            <w:r>
              <w:rPr>
                <w:b/>
                <w:bCs/>
                <w:sz w:val="21"/>
                <w:vertAlign w:val="subscript"/>
              </w:rPr>
              <w:t>2</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NO</w:t>
            </w:r>
            <w:r>
              <w:rPr>
                <w:b/>
                <w:bCs/>
                <w:sz w:val="21"/>
                <w:vertAlign w:val="subscript"/>
              </w:rPr>
              <w:t>2</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NO</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O</w:t>
            </w:r>
            <w:r>
              <w:rPr>
                <w:b/>
                <w:bCs/>
                <w:sz w:val="21"/>
                <w:vertAlign w:val="subscript"/>
              </w:rPr>
              <w:t>3</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CO</w:t>
            </w:r>
          </w:p>
        </w:tc>
      </w:tr>
      <w:tr w:rsidR="002210DD">
        <w:trPr>
          <w:trHeight w:val="300"/>
        </w:trPr>
        <w:tc>
          <w:tcPr>
            <w:tcW w:w="82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国标</w:t>
            </w:r>
            <w:r>
              <w:rPr>
                <w:sz w:val="21"/>
              </w:rPr>
              <w:t>HJ654</w:t>
            </w:r>
          </w:p>
        </w:tc>
        <w:tc>
          <w:tcPr>
            <w:tcW w:w="158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不限</w:t>
            </w:r>
          </w:p>
        </w:tc>
        <w:tc>
          <w:tcPr>
            <w:tcW w:w="516"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r>
      <w:tr w:rsidR="002210DD">
        <w:trPr>
          <w:trHeight w:val="300"/>
        </w:trPr>
        <w:tc>
          <w:tcPr>
            <w:tcW w:w="82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proofErr w:type="gramStart"/>
            <w:r>
              <w:rPr>
                <w:sz w:val="21"/>
              </w:rPr>
              <w:t>环办监测</w:t>
            </w:r>
            <w:proofErr w:type="gramEnd"/>
            <w:r>
              <w:rPr>
                <w:sz w:val="21"/>
              </w:rPr>
              <w:t>函</w:t>
            </w:r>
            <w:r>
              <w:rPr>
                <w:sz w:val="21"/>
              </w:rPr>
              <w:t>[2017] 2027</w:t>
            </w:r>
            <w:r>
              <w:rPr>
                <w:sz w:val="21"/>
              </w:rPr>
              <w:t>号</w:t>
            </w:r>
          </w:p>
        </w:tc>
        <w:tc>
          <w:tcPr>
            <w:tcW w:w="158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不限</w:t>
            </w:r>
          </w:p>
        </w:tc>
        <w:tc>
          <w:tcPr>
            <w:tcW w:w="516"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±10%</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±10%</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±10%</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±10%</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±10%</w:t>
            </w:r>
          </w:p>
        </w:tc>
      </w:tr>
      <w:tr w:rsidR="002210DD">
        <w:trPr>
          <w:trHeight w:val="628"/>
        </w:trPr>
        <w:tc>
          <w:tcPr>
            <w:tcW w:w="824"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地标</w:t>
            </w:r>
            <w:r>
              <w:rPr>
                <w:sz w:val="21"/>
              </w:rPr>
              <w:t>DB13/T2544</w:t>
            </w:r>
          </w:p>
        </w:tc>
        <w:tc>
          <w:tcPr>
            <w:tcW w:w="158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left"/>
              <w:rPr>
                <w:sz w:val="13"/>
                <w:szCs w:val="15"/>
              </w:rPr>
            </w:pPr>
            <w:r>
              <w:rPr>
                <w:sz w:val="16"/>
                <w:szCs w:val="18"/>
              </w:rPr>
              <w:t>SO</w:t>
            </w:r>
            <w:r>
              <w:rPr>
                <w:sz w:val="16"/>
                <w:szCs w:val="18"/>
                <w:vertAlign w:val="subscript"/>
              </w:rPr>
              <w:t>2</w:t>
            </w:r>
            <w:r>
              <w:rPr>
                <w:sz w:val="16"/>
                <w:szCs w:val="18"/>
              </w:rPr>
              <w:t>、</w:t>
            </w:r>
            <w:r>
              <w:rPr>
                <w:sz w:val="16"/>
                <w:szCs w:val="18"/>
              </w:rPr>
              <w:t>NO</w:t>
            </w:r>
            <w:r>
              <w:rPr>
                <w:sz w:val="16"/>
                <w:szCs w:val="18"/>
                <w:vertAlign w:val="subscript"/>
              </w:rPr>
              <w:t>2</w:t>
            </w:r>
            <w:r>
              <w:rPr>
                <w:sz w:val="16"/>
                <w:szCs w:val="18"/>
              </w:rPr>
              <w:t>、</w:t>
            </w:r>
            <w:r>
              <w:rPr>
                <w:sz w:val="16"/>
                <w:szCs w:val="18"/>
              </w:rPr>
              <w:t>O</w:t>
            </w:r>
            <w:r>
              <w:rPr>
                <w:sz w:val="16"/>
                <w:szCs w:val="18"/>
                <w:vertAlign w:val="subscript"/>
              </w:rPr>
              <w:t>3</w:t>
            </w:r>
            <w:r>
              <w:rPr>
                <w:sz w:val="16"/>
                <w:szCs w:val="18"/>
              </w:rPr>
              <w:t>：（</w:t>
            </w:r>
            <w:r>
              <w:rPr>
                <w:sz w:val="16"/>
                <w:szCs w:val="18"/>
              </w:rPr>
              <w:t>0~100</w:t>
            </w:r>
            <w:r>
              <w:rPr>
                <w:sz w:val="16"/>
                <w:szCs w:val="18"/>
              </w:rPr>
              <w:t>）</w:t>
            </w:r>
            <w:r>
              <w:rPr>
                <w:sz w:val="16"/>
                <w:szCs w:val="18"/>
              </w:rPr>
              <w:t>nmol/mol</w:t>
            </w:r>
            <w:r>
              <w:rPr>
                <w:sz w:val="16"/>
                <w:szCs w:val="18"/>
              </w:rPr>
              <w:br/>
              <w:t>CO</w:t>
            </w:r>
            <w:r>
              <w:rPr>
                <w:sz w:val="16"/>
                <w:szCs w:val="18"/>
              </w:rPr>
              <w:t>：（</w:t>
            </w:r>
            <w:r>
              <w:rPr>
                <w:sz w:val="16"/>
                <w:szCs w:val="18"/>
              </w:rPr>
              <w:t>0~10</w:t>
            </w:r>
            <w:r>
              <w:rPr>
                <w:sz w:val="16"/>
                <w:szCs w:val="18"/>
              </w:rPr>
              <w:t>）</w:t>
            </w:r>
            <w:r>
              <w:rPr>
                <w:sz w:val="16"/>
                <w:szCs w:val="18"/>
              </w:rPr>
              <w:t>μmol/mol</w:t>
            </w:r>
          </w:p>
        </w:tc>
        <w:tc>
          <w:tcPr>
            <w:tcW w:w="516"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15"/>
                <w:szCs w:val="16"/>
              </w:rPr>
            </w:pPr>
            <w:r>
              <w:rPr>
                <w:sz w:val="15"/>
                <w:szCs w:val="16"/>
              </w:rPr>
              <w:t>±20 nmol/mol</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15"/>
                <w:szCs w:val="16"/>
              </w:rPr>
            </w:pPr>
            <w:r>
              <w:rPr>
                <w:sz w:val="15"/>
                <w:szCs w:val="16"/>
              </w:rPr>
              <w:t>±20 nmol/mol</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15"/>
                <w:szCs w:val="16"/>
              </w:rPr>
            </w:pPr>
            <w:r>
              <w:rPr>
                <w:sz w:val="15"/>
                <w:szCs w:val="16"/>
              </w:rPr>
              <w:t>±20 nmol/mol</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15"/>
                <w:szCs w:val="16"/>
              </w:rPr>
            </w:pPr>
            <w:r>
              <w:rPr>
                <w:sz w:val="15"/>
                <w:szCs w:val="16"/>
              </w:rPr>
              <w:t>±20 nmol/mol</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15"/>
                <w:szCs w:val="16"/>
              </w:rPr>
            </w:pPr>
            <w:r>
              <w:rPr>
                <w:sz w:val="15"/>
                <w:szCs w:val="16"/>
              </w:rPr>
              <w:t>±2.0 μmol/mol</w:t>
            </w:r>
          </w:p>
        </w:tc>
      </w:tr>
      <w:tr w:rsidR="002210DD">
        <w:trPr>
          <w:trHeight w:val="645"/>
        </w:trPr>
        <w:tc>
          <w:tcPr>
            <w:tcW w:w="824" w:type="pct"/>
            <w:vMerge/>
            <w:tcBorders>
              <w:left w:val="single" w:sz="4" w:space="0" w:color="000000"/>
              <w:bottom w:val="nil"/>
              <w:right w:val="single" w:sz="4" w:space="0" w:color="000000"/>
            </w:tcBorders>
            <w:tcMar>
              <w:top w:w="15" w:type="dxa"/>
              <w:left w:w="15" w:type="dxa"/>
              <w:right w:w="15" w:type="dxa"/>
            </w:tcMar>
            <w:vAlign w:val="center"/>
          </w:tcPr>
          <w:p w:rsidR="002210DD" w:rsidRDefault="002210DD">
            <w:pPr>
              <w:spacing w:line="240" w:lineRule="auto"/>
              <w:ind w:firstLineChars="0" w:firstLine="0"/>
              <w:jc w:val="left"/>
              <w:rPr>
                <w:sz w:val="21"/>
              </w:rPr>
            </w:pPr>
          </w:p>
        </w:tc>
        <w:tc>
          <w:tcPr>
            <w:tcW w:w="1589"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left"/>
              <w:rPr>
                <w:sz w:val="16"/>
                <w:szCs w:val="18"/>
              </w:rPr>
            </w:pPr>
            <w:r>
              <w:rPr>
                <w:sz w:val="16"/>
                <w:szCs w:val="18"/>
              </w:rPr>
              <w:t>SO</w:t>
            </w:r>
            <w:r>
              <w:rPr>
                <w:sz w:val="16"/>
                <w:szCs w:val="18"/>
                <w:vertAlign w:val="subscript"/>
              </w:rPr>
              <w:t>2</w:t>
            </w:r>
            <w:r>
              <w:rPr>
                <w:sz w:val="16"/>
                <w:szCs w:val="18"/>
              </w:rPr>
              <w:t>、</w:t>
            </w:r>
            <w:r>
              <w:rPr>
                <w:sz w:val="16"/>
                <w:szCs w:val="18"/>
              </w:rPr>
              <w:t>NO</w:t>
            </w:r>
            <w:r>
              <w:rPr>
                <w:sz w:val="16"/>
                <w:szCs w:val="18"/>
                <w:vertAlign w:val="subscript"/>
              </w:rPr>
              <w:t>2</w:t>
            </w:r>
            <w:r>
              <w:rPr>
                <w:sz w:val="16"/>
                <w:szCs w:val="18"/>
              </w:rPr>
              <w:t>、</w:t>
            </w:r>
            <w:r>
              <w:rPr>
                <w:sz w:val="16"/>
                <w:szCs w:val="18"/>
              </w:rPr>
              <w:t>O</w:t>
            </w:r>
            <w:r>
              <w:rPr>
                <w:sz w:val="16"/>
                <w:szCs w:val="18"/>
                <w:vertAlign w:val="subscript"/>
              </w:rPr>
              <w:t>3</w:t>
            </w:r>
            <w:r>
              <w:rPr>
                <w:sz w:val="16"/>
                <w:szCs w:val="18"/>
              </w:rPr>
              <w:t>：（</w:t>
            </w:r>
            <w:r>
              <w:rPr>
                <w:sz w:val="16"/>
                <w:szCs w:val="18"/>
              </w:rPr>
              <w:t>100~500</w:t>
            </w:r>
            <w:r>
              <w:rPr>
                <w:sz w:val="16"/>
                <w:szCs w:val="18"/>
              </w:rPr>
              <w:t>）</w:t>
            </w:r>
            <w:r>
              <w:rPr>
                <w:sz w:val="16"/>
                <w:szCs w:val="18"/>
              </w:rPr>
              <w:t>nmol/mol</w:t>
            </w:r>
          </w:p>
          <w:p w:rsidR="002210DD" w:rsidRDefault="00A205B8">
            <w:pPr>
              <w:spacing w:line="240" w:lineRule="auto"/>
              <w:ind w:firstLineChars="0" w:firstLine="0"/>
              <w:jc w:val="left"/>
              <w:rPr>
                <w:sz w:val="20"/>
                <w:szCs w:val="21"/>
              </w:rPr>
            </w:pPr>
            <w:r>
              <w:rPr>
                <w:sz w:val="16"/>
                <w:szCs w:val="18"/>
              </w:rPr>
              <w:t>CO</w:t>
            </w:r>
            <w:r>
              <w:rPr>
                <w:sz w:val="16"/>
                <w:szCs w:val="18"/>
              </w:rPr>
              <w:t>：（</w:t>
            </w:r>
            <w:r>
              <w:rPr>
                <w:sz w:val="16"/>
                <w:szCs w:val="18"/>
              </w:rPr>
              <w:t>10~50</w:t>
            </w:r>
            <w:r>
              <w:rPr>
                <w:sz w:val="16"/>
                <w:szCs w:val="18"/>
              </w:rPr>
              <w:t>）</w:t>
            </w:r>
            <w:r>
              <w:rPr>
                <w:sz w:val="16"/>
                <w:szCs w:val="18"/>
              </w:rPr>
              <w:t>μmol/mol</w:t>
            </w:r>
          </w:p>
        </w:tc>
        <w:tc>
          <w:tcPr>
            <w:tcW w:w="516"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±20%</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±20%</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±20%</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±20%</w:t>
            </w:r>
          </w:p>
        </w:tc>
        <w:tc>
          <w:tcPr>
            <w:tcW w:w="517"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±20%</w:t>
            </w:r>
          </w:p>
        </w:tc>
      </w:tr>
      <w:tr w:rsidR="002210DD">
        <w:trPr>
          <w:trHeight w:val="300"/>
        </w:trPr>
        <w:tc>
          <w:tcPr>
            <w:tcW w:w="824" w:type="pct"/>
            <w:vMerge w:val="restart"/>
            <w:tcBorders>
              <w:top w:val="single" w:sz="4" w:space="0" w:color="000000"/>
              <w:left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比对测试结果</w:t>
            </w:r>
          </w:p>
        </w:tc>
        <w:tc>
          <w:tcPr>
            <w:tcW w:w="1589"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平均值</w:t>
            </w:r>
          </w:p>
        </w:tc>
        <w:tc>
          <w:tcPr>
            <w:tcW w:w="516"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16.53%</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0.23%</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-0.01%</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0.39%</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-0.21%</w:t>
            </w:r>
          </w:p>
        </w:tc>
      </w:tr>
      <w:tr w:rsidR="002210DD">
        <w:trPr>
          <w:trHeight w:val="300"/>
        </w:trPr>
        <w:tc>
          <w:tcPr>
            <w:tcW w:w="824" w:type="pct"/>
            <w:vMerge/>
            <w:tcBorders>
              <w:left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sz w:val="21"/>
              </w:rPr>
            </w:pPr>
          </w:p>
        </w:tc>
        <w:tc>
          <w:tcPr>
            <w:tcW w:w="1589"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最小值</w:t>
            </w:r>
          </w:p>
        </w:tc>
        <w:tc>
          <w:tcPr>
            <w:tcW w:w="516"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-0.77%</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-0.28%</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-0.04%</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-0.73%</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-0.99%</w:t>
            </w:r>
          </w:p>
        </w:tc>
      </w:tr>
      <w:tr w:rsidR="002210DD">
        <w:trPr>
          <w:trHeight w:val="300"/>
        </w:trPr>
        <w:tc>
          <w:tcPr>
            <w:tcW w:w="824" w:type="pct"/>
            <w:vMerge/>
            <w:tcBorders>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sz w:val="21"/>
              </w:rPr>
            </w:pPr>
          </w:p>
        </w:tc>
        <w:tc>
          <w:tcPr>
            <w:tcW w:w="1589"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最大值</w:t>
            </w:r>
          </w:p>
        </w:tc>
        <w:tc>
          <w:tcPr>
            <w:tcW w:w="516"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34.23%</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1.55%</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0.05%</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3.78%</w:t>
            </w:r>
          </w:p>
        </w:tc>
        <w:tc>
          <w:tcPr>
            <w:tcW w:w="51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0.61%</w:t>
            </w:r>
          </w:p>
        </w:tc>
      </w:tr>
    </w:tbl>
    <w:p w:rsidR="002210DD" w:rsidRDefault="00A205B8">
      <w:pPr>
        <w:pStyle w:val="3"/>
      </w:pPr>
      <w:r>
        <w:t>数据捕获率</w:t>
      </w:r>
    </w:p>
    <w:p w:rsidR="002210DD" w:rsidRDefault="00A205B8">
      <w:pPr>
        <w:ind w:firstLine="480"/>
      </w:pPr>
      <w:r>
        <w:t>监测单元数据到存储单元的数据捕获率应不小于</w:t>
      </w:r>
      <w:r>
        <w:t>90%</w:t>
      </w:r>
      <w:r>
        <w:t>。</w:t>
      </w:r>
    </w:p>
    <w:p w:rsidR="002210DD" w:rsidRDefault="00A205B8">
      <w:pPr>
        <w:spacing w:afterLines="50" w:after="156"/>
        <w:ind w:firstLineChars="0" w:firstLine="0"/>
        <w:jc w:val="center"/>
        <w:rPr>
          <w:b/>
          <w:sz w:val="21"/>
        </w:rPr>
      </w:pPr>
      <w:r>
        <w:rPr>
          <w:noProof/>
        </w:rPr>
        <w:drawing>
          <wp:inline distT="0" distB="0" distL="114300" distR="114300">
            <wp:extent cx="2592070" cy="1557020"/>
            <wp:effectExtent l="0" t="0" r="11430" b="5080"/>
            <wp:docPr id="52"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34"/>
                    <pic:cNvPicPr>
                      <a:picLocks noChangeAspect="1"/>
                    </pic:cNvPicPr>
                  </pic:nvPicPr>
                  <pic:blipFill>
                    <a:blip r:embed="rId44"/>
                    <a:stretch>
                      <a:fillRect/>
                    </a:stretch>
                  </pic:blipFill>
                  <pic:spPr>
                    <a:xfrm>
                      <a:off x="0" y="0"/>
                      <a:ext cx="2592070" cy="1557020"/>
                    </a:xfrm>
                    <a:prstGeom prst="rect">
                      <a:avLst/>
                    </a:prstGeom>
                    <a:noFill/>
                    <a:ln>
                      <a:noFill/>
                    </a:ln>
                  </pic:spPr>
                </pic:pic>
              </a:graphicData>
            </a:graphic>
          </wp:inline>
        </w:drawing>
      </w:r>
      <w:r>
        <w:rPr>
          <w:noProof/>
        </w:rPr>
        <w:drawing>
          <wp:inline distT="0" distB="0" distL="114300" distR="114300">
            <wp:extent cx="2592070" cy="1553845"/>
            <wp:effectExtent l="0" t="0" r="11430" b="8255"/>
            <wp:docPr id="53"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5"/>
                    <pic:cNvPicPr>
                      <a:picLocks noChangeAspect="1"/>
                    </pic:cNvPicPr>
                  </pic:nvPicPr>
                  <pic:blipFill>
                    <a:blip r:embed="rId45"/>
                    <a:stretch>
                      <a:fillRect/>
                    </a:stretch>
                  </pic:blipFill>
                  <pic:spPr>
                    <a:xfrm>
                      <a:off x="0" y="0"/>
                      <a:ext cx="2592070" cy="1553845"/>
                    </a:xfrm>
                    <a:prstGeom prst="rect">
                      <a:avLst/>
                    </a:prstGeom>
                    <a:noFill/>
                    <a:ln>
                      <a:noFill/>
                    </a:ln>
                  </pic:spPr>
                </pic:pic>
              </a:graphicData>
            </a:graphic>
          </wp:inline>
        </w:drawing>
      </w:r>
      <w:r>
        <w:rPr>
          <w:noProof/>
        </w:rPr>
        <w:lastRenderedPageBreak/>
        <w:drawing>
          <wp:inline distT="0" distB="0" distL="114300" distR="114300">
            <wp:extent cx="2592070" cy="1553845"/>
            <wp:effectExtent l="0" t="0" r="11430" b="8255"/>
            <wp:docPr id="54"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36"/>
                    <pic:cNvPicPr>
                      <a:picLocks noChangeAspect="1"/>
                    </pic:cNvPicPr>
                  </pic:nvPicPr>
                  <pic:blipFill>
                    <a:blip r:embed="rId46"/>
                    <a:stretch>
                      <a:fillRect/>
                    </a:stretch>
                  </pic:blipFill>
                  <pic:spPr>
                    <a:xfrm>
                      <a:off x="0" y="0"/>
                      <a:ext cx="2592070" cy="1553845"/>
                    </a:xfrm>
                    <a:prstGeom prst="rect">
                      <a:avLst/>
                    </a:prstGeom>
                    <a:noFill/>
                    <a:ln>
                      <a:noFill/>
                    </a:ln>
                  </pic:spPr>
                </pic:pic>
              </a:graphicData>
            </a:graphic>
          </wp:inline>
        </w:drawing>
      </w:r>
      <w:r>
        <w:rPr>
          <w:noProof/>
        </w:rPr>
        <w:drawing>
          <wp:inline distT="0" distB="0" distL="114300" distR="114300">
            <wp:extent cx="2592070" cy="1553845"/>
            <wp:effectExtent l="0" t="0" r="11430" b="8255"/>
            <wp:docPr id="55"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7"/>
                    <pic:cNvPicPr>
                      <a:picLocks noChangeAspect="1"/>
                    </pic:cNvPicPr>
                  </pic:nvPicPr>
                  <pic:blipFill>
                    <a:blip r:embed="rId47"/>
                    <a:stretch>
                      <a:fillRect/>
                    </a:stretch>
                  </pic:blipFill>
                  <pic:spPr>
                    <a:xfrm>
                      <a:off x="0" y="0"/>
                      <a:ext cx="2592070" cy="1553845"/>
                    </a:xfrm>
                    <a:prstGeom prst="rect">
                      <a:avLst/>
                    </a:prstGeom>
                    <a:noFill/>
                    <a:ln>
                      <a:noFill/>
                    </a:ln>
                  </pic:spPr>
                </pic:pic>
              </a:graphicData>
            </a:graphic>
          </wp:inline>
        </w:drawing>
      </w:r>
    </w:p>
    <w:p w:rsidR="002210DD" w:rsidRDefault="00A205B8">
      <w:pPr>
        <w:spacing w:afterLines="50" w:after="156"/>
        <w:ind w:firstLineChars="0" w:firstLine="0"/>
        <w:jc w:val="center"/>
        <w:rPr>
          <w:b/>
          <w:sz w:val="21"/>
        </w:rPr>
      </w:pPr>
      <w:r>
        <w:rPr>
          <w:b/>
          <w:sz w:val="21"/>
        </w:rPr>
        <w:t>图</w:t>
      </w:r>
      <w:r>
        <w:rPr>
          <w:b/>
          <w:sz w:val="21"/>
        </w:rPr>
        <w:t xml:space="preserve">5.5-10  </w:t>
      </w:r>
      <w:r>
        <w:rPr>
          <w:b/>
          <w:sz w:val="21"/>
        </w:rPr>
        <w:t>数据捕集率调研结果</w:t>
      </w:r>
    </w:p>
    <w:p w:rsidR="002210DD" w:rsidRDefault="00A205B8">
      <w:pPr>
        <w:ind w:firstLine="480"/>
      </w:pPr>
      <w:r>
        <w:t>此条要求参考了《大气</w:t>
      </w:r>
      <w:r>
        <w:t>PM</w:t>
      </w:r>
      <w:r>
        <w:rPr>
          <w:vertAlign w:val="subscript"/>
        </w:rPr>
        <w:t>2.5</w:t>
      </w:r>
      <w:r>
        <w:t>网格化监测系统质保质控与运行技术规范》（</w:t>
      </w:r>
      <w:proofErr w:type="gramStart"/>
      <w:r>
        <w:t>环办监测</w:t>
      </w:r>
      <w:proofErr w:type="gramEnd"/>
      <w:r>
        <w:t>函</w:t>
      </w:r>
      <w:r>
        <w:t xml:space="preserve"> [2017] 2027</w:t>
      </w:r>
      <w:r>
        <w:t>号）的要求，根据市场监测设备实际调研结果，数据捕集率要求与</w:t>
      </w:r>
      <w:r>
        <w:t>PM</w:t>
      </w:r>
      <w:r>
        <w:rPr>
          <w:vertAlign w:val="subscript"/>
        </w:rPr>
        <w:t>2.5</w:t>
      </w:r>
      <w:r>
        <w:t>规范要求保持一致。</w:t>
      </w:r>
    </w:p>
    <w:p w:rsidR="002210DD" w:rsidRDefault="00A205B8">
      <w:pPr>
        <w:spacing w:beforeLines="50" w:before="156"/>
        <w:ind w:firstLineChars="0" w:firstLine="0"/>
        <w:jc w:val="center"/>
        <w:rPr>
          <w:b/>
          <w:sz w:val="21"/>
        </w:rPr>
      </w:pPr>
      <w:r>
        <w:rPr>
          <w:b/>
          <w:sz w:val="21"/>
        </w:rPr>
        <w:t>表</w:t>
      </w:r>
      <w:r>
        <w:rPr>
          <w:b/>
          <w:sz w:val="21"/>
        </w:rPr>
        <w:t>5.5-1</w:t>
      </w:r>
      <w:r>
        <w:rPr>
          <w:rFonts w:hint="eastAsia"/>
          <w:b/>
          <w:sz w:val="21"/>
        </w:rPr>
        <w:t>4</w:t>
      </w:r>
      <w:r>
        <w:rPr>
          <w:b/>
          <w:sz w:val="21"/>
        </w:rPr>
        <w:t xml:space="preserve">  </w:t>
      </w:r>
      <w:r>
        <w:rPr>
          <w:b/>
          <w:sz w:val="21"/>
        </w:rPr>
        <w:t>数据捕获率对比</w:t>
      </w:r>
    </w:p>
    <w:tbl>
      <w:tblPr>
        <w:tblW w:w="4997" w:type="pct"/>
        <w:tblCellMar>
          <w:left w:w="0" w:type="dxa"/>
          <w:right w:w="0" w:type="dxa"/>
        </w:tblCellMar>
        <w:tblLook w:val="04A0" w:firstRow="1" w:lastRow="0" w:firstColumn="1" w:lastColumn="0" w:noHBand="0" w:noVBand="1"/>
      </w:tblPr>
      <w:tblGrid>
        <w:gridCol w:w="1324"/>
        <w:gridCol w:w="1047"/>
        <w:gridCol w:w="1184"/>
        <w:gridCol w:w="1184"/>
        <w:gridCol w:w="1184"/>
        <w:gridCol w:w="1184"/>
        <w:gridCol w:w="1184"/>
      </w:tblGrid>
      <w:tr w:rsidR="002210DD">
        <w:trPr>
          <w:trHeight w:val="345"/>
        </w:trPr>
        <w:tc>
          <w:tcPr>
            <w:tcW w:w="1429"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规范名称</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SO</w:t>
            </w:r>
            <w:r>
              <w:rPr>
                <w:b/>
                <w:bCs/>
                <w:sz w:val="21"/>
                <w:vertAlign w:val="subscript"/>
              </w:rPr>
              <w:t>2</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NO</w:t>
            </w:r>
            <w:r>
              <w:rPr>
                <w:b/>
                <w:bCs/>
                <w:sz w:val="21"/>
                <w:vertAlign w:val="subscript"/>
              </w:rPr>
              <w:t>2</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NO</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O</w:t>
            </w:r>
            <w:r>
              <w:rPr>
                <w:b/>
                <w:bCs/>
                <w:sz w:val="21"/>
                <w:vertAlign w:val="subscript"/>
              </w:rPr>
              <w:t>3</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b/>
                <w:bCs/>
                <w:sz w:val="21"/>
              </w:rPr>
            </w:pPr>
            <w:r>
              <w:rPr>
                <w:b/>
                <w:bCs/>
                <w:sz w:val="21"/>
              </w:rPr>
              <w:t>CO</w:t>
            </w:r>
          </w:p>
        </w:tc>
      </w:tr>
      <w:tr w:rsidR="002210DD">
        <w:trPr>
          <w:trHeight w:val="285"/>
        </w:trPr>
        <w:tc>
          <w:tcPr>
            <w:tcW w:w="1429"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国标</w:t>
            </w:r>
            <w:r>
              <w:rPr>
                <w:sz w:val="21"/>
              </w:rPr>
              <w:t>HJ654</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r>
      <w:tr w:rsidR="002210DD">
        <w:trPr>
          <w:trHeight w:val="285"/>
        </w:trPr>
        <w:tc>
          <w:tcPr>
            <w:tcW w:w="1429"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proofErr w:type="gramStart"/>
            <w:r>
              <w:rPr>
                <w:sz w:val="21"/>
              </w:rPr>
              <w:t>环办监测</w:t>
            </w:r>
            <w:proofErr w:type="gramEnd"/>
            <w:r>
              <w:rPr>
                <w:sz w:val="21"/>
              </w:rPr>
              <w:t>函</w:t>
            </w:r>
            <w:r>
              <w:rPr>
                <w:sz w:val="21"/>
              </w:rPr>
              <w:t>[2017] 2027</w:t>
            </w:r>
            <w:r>
              <w:rPr>
                <w:sz w:val="21"/>
              </w:rPr>
              <w:t>号</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≥90%</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≥90%</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≥90%</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≥90%</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≥90%</w:t>
            </w:r>
          </w:p>
        </w:tc>
      </w:tr>
      <w:tr w:rsidR="002210DD">
        <w:trPr>
          <w:trHeight w:val="285"/>
        </w:trPr>
        <w:tc>
          <w:tcPr>
            <w:tcW w:w="1429"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地标</w:t>
            </w:r>
            <w:r>
              <w:rPr>
                <w:sz w:val="21"/>
              </w:rPr>
              <w:t>DB13/T2544</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w:t>
            </w:r>
          </w:p>
        </w:tc>
      </w:tr>
      <w:tr w:rsidR="002210DD">
        <w:trPr>
          <w:trHeight w:val="285"/>
        </w:trPr>
        <w:tc>
          <w:tcPr>
            <w:tcW w:w="798" w:type="pct"/>
            <w:vMerge w:val="restar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比对测试结果</w:t>
            </w:r>
          </w:p>
        </w:tc>
        <w:tc>
          <w:tcPr>
            <w:tcW w:w="63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平均值</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76%</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86%</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93%</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83%</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87%</w:t>
            </w:r>
          </w:p>
        </w:tc>
      </w:tr>
      <w:tr w:rsidR="002210DD">
        <w:trPr>
          <w:trHeight w:val="285"/>
        </w:trPr>
        <w:tc>
          <w:tcPr>
            <w:tcW w:w="798" w:type="pct"/>
            <w:vMerge/>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sz w:val="21"/>
              </w:rPr>
            </w:pPr>
          </w:p>
        </w:tc>
        <w:tc>
          <w:tcPr>
            <w:tcW w:w="63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最小值</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24%</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34%</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88%</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34%</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34%</w:t>
            </w:r>
          </w:p>
        </w:tc>
      </w:tr>
      <w:tr w:rsidR="002210DD">
        <w:trPr>
          <w:trHeight w:val="285"/>
        </w:trPr>
        <w:tc>
          <w:tcPr>
            <w:tcW w:w="798" w:type="pct"/>
            <w:vMerge/>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2210DD">
            <w:pPr>
              <w:spacing w:line="240" w:lineRule="auto"/>
              <w:ind w:firstLineChars="0" w:firstLine="0"/>
              <w:jc w:val="center"/>
              <w:rPr>
                <w:sz w:val="21"/>
              </w:rPr>
            </w:pPr>
          </w:p>
        </w:tc>
        <w:tc>
          <w:tcPr>
            <w:tcW w:w="630"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最大值</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98%</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98%</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98%</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98%</w:t>
            </w:r>
          </w:p>
        </w:tc>
        <w:tc>
          <w:tcPr>
            <w:tcW w:w="714"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2210DD" w:rsidRDefault="00A205B8">
            <w:pPr>
              <w:spacing w:line="240" w:lineRule="auto"/>
              <w:ind w:firstLineChars="0" w:firstLine="0"/>
              <w:jc w:val="center"/>
              <w:rPr>
                <w:sz w:val="21"/>
              </w:rPr>
            </w:pPr>
            <w:r>
              <w:rPr>
                <w:sz w:val="21"/>
              </w:rPr>
              <w:t>98%</w:t>
            </w:r>
          </w:p>
        </w:tc>
      </w:tr>
      <w:tr w:rsidR="002210DD">
        <w:trPr>
          <w:trHeight w:val="285"/>
        </w:trPr>
        <w:tc>
          <w:tcPr>
            <w:tcW w:w="1429" w:type="pct"/>
            <w:gridSpan w:val="2"/>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本规范</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≥90%</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≥90%</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≥90%</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≥90%</w:t>
            </w:r>
          </w:p>
        </w:tc>
        <w:tc>
          <w:tcPr>
            <w:tcW w:w="714" w:type="pct"/>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rsidR="002210DD" w:rsidRDefault="00A205B8">
            <w:pPr>
              <w:spacing w:line="240" w:lineRule="auto"/>
              <w:ind w:firstLineChars="0" w:firstLine="0"/>
              <w:jc w:val="center"/>
              <w:rPr>
                <w:sz w:val="21"/>
              </w:rPr>
            </w:pPr>
            <w:r>
              <w:rPr>
                <w:sz w:val="21"/>
              </w:rPr>
              <w:t>≥90%</w:t>
            </w:r>
          </w:p>
        </w:tc>
      </w:tr>
    </w:tbl>
    <w:p w:rsidR="002210DD" w:rsidRDefault="00A205B8">
      <w:pPr>
        <w:pStyle w:val="3"/>
        <w:tabs>
          <w:tab w:val="left" w:pos="420"/>
        </w:tabs>
        <w:spacing w:before="156" w:after="156"/>
      </w:pPr>
      <w:r>
        <w:rPr>
          <w:rFonts w:hint="eastAsia"/>
        </w:rPr>
        <w:t>流量测量误差</w:t>
      </w:r>
    </w:p>
    <w:p w:rsidR="002210DD" w:rsidRDefault="00A205B8">
      <w:pPr>
        <w:tabs>
          <w:tab w:val="left" w:pos="420"/>
        </w:tabs>
        <w:ind w:firstLine="480"/>
      </w:pPr>
      <w:r>
        <w:rPr>
          <w:rFonts w:hint="eastAsia"/>
        </w:rPr>
        <w:t>监测设备的采样流量误差应≤</w:t>
      </w:r>
      <w:r>
        <w:rPr>
          <w:rFonts w:hint="eastAsia"/>
        </w:rPr>
        <w:t>10%</w:t>
      </w:r>
      <w:r>
        <w:rPr>
          <w:rFonts w:hint="eastAsia"/>
        </w:rPr>
        <w:t>。</w:t>
      </w:r>
    </w:p>
    <w:p w:rsidR="002210DD" w:rsidRDefault="00A205B8">
      <w:pPr>
        <w:ind w:firstLine="480"/>
      </w:pPr>
      <w:r>
        <w:rPr>
          <w:rFonts w:hint="eastAsia"/>
        </w:rPr>
        <w:t>此条要求参考了《环境空气气态污染物（</w:t>
      </w:r>
      <w:r>
        <w:rPr>
          <w:rFonts w:hint="eastAsia"/>
        </w:rPr>
        <w:t>SO2</w:t>
      </w:r>
      <w:r>
        <w:rPr>
          <w:rFonts w:hint="eastAsia"/>
        </w:rPr>
        <w:t>、</w:t>
      </w:r>
      <w:r>
        <w:rPr>
          <w:rFonts w:hint="eastAsia"/>
        </w:rPr>
        <w:t>NO2</w:t>
      </w:r>
      <w:r>
        <w:rPr>
          <w:rFonts w:hint="eastAsia"/>
        </w:rPr>
        <w:t>、</w:t>
      </w:r>
      <w:r>
        <w:rPr>
          <w:rFonts w:hint="eastAsia"/>
        </w:rPr>
        <w:t>O3</w:t>
      </w:r>
      <w:r>
        <w:rPr>
          <w:rFonts w:hint="eastAsia"/>
        </w:rPr>
        <w:t>、</w:t>
      </w:r>
      <w:r>
        <w:rPr>
          <w:rFonts w:hint="eastAsia"/>
        </w:rPr>
        <w:t>CO</w:t>
      </w:r>
      <w:r>
        <w:rPr>
          <w:rFonts w:hint="eastAsia"/>
        </w:rPr>
        <w:t>）连续自动监测系统运行和质控技术规范》（</w:t>
      </w:r>
      <w:r>
        <w:rPr>
          <w:rFonts w:hint="eastAsia"/>
        </w:rPr>
        <w:t xml:space="preserve">HJ 818 -2018 </w:t>
      </w:r>
      <w:r>
        <w:rPr>
          <w:rFonts w:hint="eastAsia"/>
        </w:rPr>
        <w:t>）的要求。</w:t>
      </w:r>
    </w:p>
    <w:p w:rsidR="002210DD" w:rsidRDefault="00A205B8">
      <w:pPr>
        <w:pStyle w:val="1"/>
      </w:pPr>
      <w:r>
        <w:t>征集意见及处理情况</w:t>
      </w:r>
    </w:p>
    <w:p w:rsidR="002210DD" w:rsidRDefault="00A205B8">
      <w:pPr>
        <w:ind w:firstLine="480"/>
      </w:pPr>
      <w:r>
        <w:t>编制组于</w:t>
      </w:r>
      <w:r>
        <w:t>202</w:t>
      </w:r>
      <w:r>
        <w:rPr>
          <w:rFonts w:hint="eastAsia"/>
        </w:rPr>
        <w:t>1</w:t>
      </w:r>
      <w:r>
        <w:t>年</w:t>
      </w:r>
      <w:r>
        <w:rPr>
          <w:rFonts w:hint="eastAsia"/>
        </w:rPr>
        <w:t>1</w:t>
      </w:r>
      <w:r>
        <w:t>月</w:t>
      </w:r>
      <w:r w:rsidR="00960D6F">
        <w:rPr>
          <w:rFonts w:hint="eastAsia"/>
        </w:rPr>
        <w:t>-</w:t>
      </w:r>
      <w:r>
        <w:t>202</w:t>
      </w:r>
      <w:r>
        <w:rPr>
          <w:rFonts w:hint="eastAsia"/>
        </w:rPr>
        <w:t>2</w:t>
      </w:r>
      <w:r>
        <w:t>年</w:t>
      </w:r>
      <w:r w:rsidR="00960D6F">
        <w:t>5</w:t>
      </w:r>
      <w:r>
        <w:t>月，向多家传感器监测设备供应商和上海、江苏、浙江、安徽环境监管部门通过邮件等方式征求意见。共收到各单位条</w:t>
      </w:r>
      <w:r>
        <w:t>4</w:t>
      </w:r>
      <w:r>
        <w:rPr>
          <w:rFonts w:hint="eastAsia"/>
        </w:rPr>
        <w:t>0</w:t>
      </w:r>
      <w:r>
        <w:t>反馈意见，编制小组对反馈意见逐条进行了讨论与修改完善，最终采纳</w:t>
      </w:r>
      <w:r>
        <w:t>12</w:t>
      </w:r>
      <w:r>
        <w:t>条、部分采纳</w:t>
      </w:r>
      <w:r>
        <w:t>8</w:t>
      </w:r>
      <w:r>
        <w:t>条、不采纳</w:t>
      </w:r>
      <w:r>
        <w:t>17</w:t>
      </w:r>
      <w:r>
        <w:t>条、无需修改</w:t>
      </w:r>
      <w:r>
        <w:t>3</w:t>
      </w:r>
      <w:r>
        <w:t>条。以下为主要反馈意见及处理情况。</w:t>
      </w:r>
    </w:p>
    <w:p w:rsidR="002210DD" w:rsidRDefault="00A205B8">
      <w:pPr>
        <w:ind w:firstLine="482"/>
      </w:pPr>
      <w:r>
        <w:rPr>
          <w:b/>
          <w:bCs/>
        </w:rPr>
        <w:t>主要反馈意见</w:t>
      </w:r>
      <w:r>
        <w:rPr>
          <w:b/>
          <w:bCs/>
        </w:rPr>
        <w:t>1</w:t>
      </w:r>
      <w:r>
        <w:rPr>
          <w:b/>
          <w:bCs/>
        </w:rPr>
        <w:t>：</w:t>
      </w:r>
      <w:r>
        <w:t>2</w:t>
      </w:r>
      <w:r>
        <w:t>家传感器设备供应商和</w:t>
      </w:r>
      <w:r>
        <w:t>1</w:t>
      </w:r>
      <w:r>
        <w:t>家监测实施单位认为</w:t>
      </w:r>
      <w:r>
        <w:t>5.3.3</w:t>
      </w:r>
      <w:r>
        <w:t>防</w:t>
      </w:r>
      <w:r>
        <w:lastRenderedPageBreak/>
        <w:t>护等级要求过于高了，建议降低防护等级。</w:t>
      </w:r>
    </w:p>
    <w:p w:rsidR="002210DD" w:rsidRDefault="00A205B8">
      <w:pPr>
        <w:tabs>
          <w:tab w:val="left" w:pos="420"/>
        </w:tabs>
        <w:ind w:firstLine="482"/>
      </w:pPr>
      <w:r>
        <w:rPr>
          <w:b/>
          <w:bCs/>
        </w:rPr>
        <w:t>处理情况：</w:t>
      </w:r>
      <w:r>
        <w:t>采纳。考虑到防护等级越</w:t>
      </w:r>
      <w:proofErr w:type="gramStart"/>
      <w:r>
        <w:t>高设备</w:t>
      </w:r>
      <w:proofErr w:type="gramEnd"/>
      <w:r>
        <w:t>成本越高，常规环境较低防护等级已经可以满足防护需求，修改</w:t>
      </w:r>
      <w:r>
        <w:t>5.3.3</w:t>
      </w:r>
      <w:r>
        <w:t>防护等级要求为</w:t>
      </w:r>
      <w:r>
        <w:t>“</w:t>
      </w:r>
      <w:r>
        <w:t>在满足性能要求的前提下，设备外壳防护等级应至少满足</w:t>
      </w:r>
      <w:r>
        <w:t>GB4208-2008 IP53</w:t>
      </w:r>
      <w:r>
        <w:t>的规定。</w:t>
      </w:r>
      <w:r>
        <w:t>”</w:t>
      </w:r>
      <w:r>
        <w:t>与环保产品认证要求的</w:t>
      </w:r>
      <w:r>
        <w:t>IP53</w:t>
      </w:r>
      <w:r>
        <w:t>（微型环境空气质量监控系统</w:t>
      </w:r>
      <w:r>
        <w:t>CCAEPI-RG-Y-040-2017</w:t>
      </w:r>
      <w:r>
        <w:t>）保持一致。</w:t>
      </w:r>
    </w:p>
    <w:p w:rsidR="002210DD" w:rsidRDefault="00A205B8">
      <w:pPr>
        <w:tabs>
          <w:tab w:val="left" w:pos="420"/>
        </w:tabs>
        <w:ind w:firstLine="482"/>
      </w:pPr>
      <w:r>
        <w:rPr>
          <w:b/>
          <w:bCs/>
        </w:rPr>
        <w:t>主要反馈意见</w:t>
      </w:r>
      <w:r>
        <w:rPr>
          <w:b/>
          <w:bCs/>
        </w:rPr>
        <w:t>2</w:t>
      </w:r>
      <w:r>
        <w:rPr>
          <w:b/>
          <w:bCs/>
        </w:rPr>
        <w:t>：</w:t>
      </w:r>
      <w:r>
        <w:t>1</w:t>
      </w:r>
      <w:r>
        <w:t>家传感器设备供应商和</w:t>
      </w:r>
      <w:r>
        <w:t>2</w:t>
      </w:r>
      <w:r>
        <w:t>家监测实施单位建议</w:t>
      </w:r>
      <w:r>
        <w:t>SO</w:t>
      </w:r>
      <w:r>
        <w:rPr>
          <w:vertAlign w:val="subscript"/>
        </w:rPr>
        <w:t>2</w:t>
      </w:r>
      <w:r>
        <w:t>、</w:t>
      </w:r>
      <w:r>
        <w:t>NO</w:t>
      </w:r>
      <w:r>
        <w:rPr>
          <w:vertAlign w:val="subscript"/>
        </w:rPr>
        <w:t>2</w:t>
      </w:r>
      <w:r>
        <w:t>、</w:t>
      </w:r>
      <w:r>
        <w:t>NO</w:t>
      </w:r>
      <w:r>
        <w:t>、</w:t>
      </w:r>
      <w:r>
        <w:t>O</w:t>
      </w:r>
      <w:r>
        <w:rPr>
          <w:vertAlign w:val="subscript"/>
        </w:rPr>
        <w:t>3</w:t>
      </w:r>
      <w:r>
        <w:t>、</w:t>
      </w:r>
      <w:r>
        <w:t>CO</w:t>
      </w:r>
      <w:r>
        <w:t>的室外比对测量误差根据高低浓度范围，采用不同计算方法。</w:t>
      </w:r>
    </w:p>
    <w:p w:rsidR="002210DD" w:rsidRDefault="00A205B8">
      <w:pPr>
        <w:tabs>
          <w:tab w:val="left" w:pos="420"/>
        </w:tabs>
        <w:ind w:firstLine="482"/>
      </w:pPr>
      <w:r>
        <w:rPr>
          <w:b/>
          <w:bCs/>
        </w:rPr>
        <w:t>处理情况：</w:t>
      </w:r>
      <w:r>
        <w:t>采纳。室外比对误差已采用分浓度</w:t>
      </w:r>
      <w:proofErr w:type="gramStart"/>
      <w:r>
        <w:t>段计算</w:t>
      </w:r>
      <w:proofErr w:type="gramEnd"/>
      <w:r>
        <w:t>的方法，在低浓度时计算绝对误差值，高浓度时计算相对误差值，具体浓度分段情况见本《编制说明》</w:t>
      </w:r>
      <w:r>
        <w:t>5.5.10</w:t>
      </w:r>
      <w:r>
        <w:t>。</w:t>
      </w:r>
    </w:p>
    <w:p w:rsidR="002210DD" w:rsidRDefault="00A205B8">
      <w:pPr>
        <w:tabs>
          <w:tab w:val="left" w:pos="420"/>
        </w:tabs>
        <w:ind w:firstLine="482"/>
      </w:pPr>
      <w:r>
        <w:rPr>
          <w:b/>
          <w:bCs/>
        </w:rPr>
        <w:t>主要反馈意见</w:t>
      </w:r>
      <w:r>
        <w:rPr>
          <w:b/>
          <w:bCs/>
        </w:rPr>
        <w:t>3</w:t>
      </w:r>
      <w:r>
        <w:rPr>
          <w:b/>
          <w:bCs/>
        </w:rPr>
        <w:t>：</w:t>
      </w:r>
      <w:r>
        <w:t>1</w:t>
      </w:r>
      <w:r>
        <w:t>家监测实施单位认为</w:t>
      </w:r>
      <w:r>
        <w:t>5.4.</w:t>
      </w:r>
      <w:r>
        <w:rPr>
          <w:rFonts w:hint="eastAsia"/>
        </w:rPr>
        <w:t>5</w:t>
      </w:r>
      <w:r>
        <w:t>数据查看与存储中要求传感器监测设备具有显示面板没有必要，因为</w:t>
      </w:r>
      <w:proofErr w:type="gramStart"/>
      <w:r>
        <w:t>很多微站设备</w:t>
      </w:r>
      <w:proofErr w:type="gramEnd"/>
      <w:r>
        <w:t>安装高度很高，仪器即使有面板也不方便看到。</w:t>
      </w:r>
    </w:p>
    <w:p w:rsidR="002210DD" w:rsidRDefault="00A205B8">
      <w:pPr>
        <w:tabs>
          <w:tab w:val="left" w:pos="420"/>
        </w:tabs>
        <w:ind w:firstLine="482"/>
      </w:pPr>
      <w:r>
        <w:rPr>
          <w:b/>
          <w:bCs/>
        </w:rPr>
        <w:t>处理情况：</w:t>
      </w:r>
      <w:r>
        <w:t>部分采纳。根据建议修改规范</w:t>
      </w:r>
      <w:r>
        <w:t>5.4.</w:t>
      </w:r>
      <w:r>
        <w:rPr>
          <w:rFonts w:hint="eastAsia"/>
        </w:rPr>
        <w:t>5</w:t>
      </w:r>
      <w:r>
        <w:t>为</w:t>
      </w:r>
      <w:r>
        <w:t>“</w:t>
      </w:r>
      <w:r>
        <w:rPr>
          <w:rFonts w:hint="eastAsia"/>
          <w:szCs w:val="24"/>
        </w:rPr>
        <w:t>可通过设备主机显示面板或其他传输方式读取原始监测数据</w:t>
      </w:r>
      <w:r>
        <w:t>”</w:t>
      </w:r>
      <w:r>
        <w:t>。</w:t>
      </w:r>
    </w:p>
    <w:p w:rsidR="002210DD" w:rsidRDefault="00A205B8">
      <w:pPr>
        <w:tabs>
          <w:tab w:val="left" w:pos="420"/>
        </w:tabs>
        <w:ind w:firstLine="482"/>
      </w:pPr>
      <w:r>
        <w:rPr>
          <w:b/>
          <w:bCs/>
        </w:rPr>
        <w:t>主要反馈意见</w:t>
      </w:r>
      <w:r>
        <w:rPr>
          <w:b/>
          <w:bCs/>
        </w:rPr>
        <w:t>4</w:t>
      </w:r>
      <w:r>
        <w:rPr>
          <w:b/>
          <w:bCs/>
        </w:rPr>
        <w:t>：</w:t>
      </w:r>
      <w:r>
        <w:t>1</w:t>
      </w:r>
      <w:r>
        <w:t>家监测实施认为</w:t>
      </w:r>
      <w:r>
        <w:t>5.4.2</w:t>
      </w:r>
      <w:r>
        <w:t>监测项目中，</w:t>
      </w:r>
      <w:r>
        <w:t>NO</w:t>
      </w:r>
      <w:r>
        <w:t>性质比较活泼，传感器法测量相对误差会不稳定，</w:t>
      </w:r>
      <w:r>
        <w:t>NO</w:t>
      </w:r>
      <w:r>
        <w:t>因子的标准不便制定。</w:t>
      </w:r>
    </w:p>
    <w:p w:rsidR="002210DD" w:rsidRDefault="00A205B8">
      <w:pPr>
        <w:tabs>
          <w:tab w:val="left" w:pos="420"/>
        </w:tabs>
        <w:ind w:firstLine="482"/>
      </w:pPr>
      <w:r>
        <w:rPr>
          <w:b/>
          <w:bCs/>
        </w:rPr>
        <w:t>处理情况：</w:t>
      </w:r>
      <w:r>
        <w:t>不采纳。前期比对实验中部分厂商设备有测试</w:t>
      </w:r>
      <w:r>
        <w:t>NO</w:t>
      </w:r>
      <w:r>
        <w:t>因子，且</w:t>
      </w:r>
      <w:r>
        <w:t>NO</w:t>
      </w:r>
      <w:r>
        <w:t>因子测试结果整体性能尚可，同时</w:t>
      </w:r>
      <w:r>
        <w:t>NO</w:t>
      </w:r>
      <w:r>
        <w:t>因子对长三角区</w:t>
      </w:r>
      <w:proofErr w:type="gramStart"/>
      <w:r>
        <w:t>域交通</w:t>
      </w:r>
      <w:proofErr w:type="gramEnd"/>
      <w:r>
        <w:t>道路环境空气质量具有重要指示意义，因此保留。</w:t>
      </w:r>
    </w:p>
    <w:p w:rsidR="002210DD" w:rsidRDefault="00A205B8">
      <w:pPr>
        <w:pStyle w:val="1"/>
      </w:pPr>
      <w:r>
        <w:t>先进性说明</w:t>
      </w:r>
    </w:p>
    <w:p w:rsidR="002210DD" w:rsidRDefault="00A205B8">
      <w:pPr>
        <w:ind w:firstLine="480"/>
      </w:pPr>
      <w:r>
        <w:t>本规范为首个专门针对传感器法监测设备用于气态污染物质量监测工作的标准化文件。本规范规定了传感器法监测设备的定义，对传感器法监测设备实施监测工作的过程进行了要求，包括系统组成，外观要求、工作条件、安全要求、功能要求、通信要求及断电重联等技术要求，性能指标与检测方法。针对</w:t>
      </w:r>
      <w:r>
        <w:rPr>
          <w:szCs w:val="24"/>
        </w:rPr>
        <w:t>市场上</w:t>
      </w:r>
      <w:r>
        <w:t>空气传感器</w:t>
      </w:r>
      <w:r>
        <w:rPr>
          <w:szCs w:val="24"/>
        </w:rPr>
        <w:t>设备品牌众多、监测设备技术水平层次不齐、</w:t>
      </w:r>
      <w:r>
        <w:t>缺乏公认性能规范的局面，基于实测数据，兼顾技术现状和发展趋势，规定了可落地的传感器法监测设备性能指标及其检测方法要求。</w:t>
      </w:r>
    </w:p>
    <w:p w:rsidR="002210DD" w:rsidRDefault="00A205B8">
      <w:pPr>
        <w:ind w:firstLine="480"/>
      </w:pPr>
      <w:r>
        <w:lastRenderedPageBreak/>
        <w:t>本规范基于长三角区域空气</w:t>
      </w:r>
      <w:r>
        <w:t>NO</w:t>
      </w:r>
      <w:r>
        <w:rPr>
          <w:vertAlign w:val="subscript"/>
        </w:rPr>
        <w:t>2</w:t>
      </w:r>
      <w:r>
        <w:t>、</w:t>
      </w:r>
      <w:r>
        <w:t>NO</w:t>
      </w:r>
      <w:r>
        <w:t>浓度值偏高，交通道路污染特征日趋明显的实际情况，在气态污染物监测因子的设置上较国家标准增加了</w:t>
      </w:r>
      <w:r>
        <w:t>NO</w:t>
      </w:r>
      <w:r>
        <w:t>的监测要求，为传感器法自动监测系统在交通道路环境的使用提供数据依据，符合长三角区域大气污染防治长期管控策略的制定需求。</w:t>
      </w:r>
    </w:p>
    <w:p w:rsidR="002210DD" w:rsidRDefault="00A205B8">
      <w:pPr>
        <w:pStyle w:val="1"/>
      </w:pPr>
      <w:r>
        <w:t>重大分歧意见的处理</w:t>
      </w:r>
    </w:p>
    <w:p w:rsidR="002210DD" w:rsidRDefault="00A205B8">
      <w:pPr>
        <w:ind w:firstLine="480"/>
      </w:pPr>
      <w:r>
        <w:t>暂无重大分歧意见。</w:t>
      </w:r>
    </w:p>
    <w:p w:rsidR="002210DD" w:rsidRDefault="00A205B8">
      <w:pPr>
        <w:pStyle w:val="1"/>
      </w:pPr>
      <w:r>
        <w:t>规范实施的措施建议</w:t>
      </w:r>
    </w:p>
    <w:p w:rsidR="002210DD" w:rsidRDefault="00A205B8">
      <w:pPr>
        <w:spacing w:line="300" w:lineRule="auto"/>
        <w:ind w:firstLine="480"/>
        <w:rPr>
          <w:szCs w:val="24"/>
        </w:rPr>
      </w:pPr>
      <w:r>
        <w:rPr>
          <w:szCs w:val="24"/>
        </w:rPr>
        <w:t>（</w:t>
      </w:r>
      <w:r>
        <w:rPr>
          <w:szCs w:val="24"/>
        </w:rPr>
        <w:t>1</w:t>
      </w:r>
      <w:r>
        <w:rPr>
          <w:szCs w:val="24"/>
        </w:rPr>
        <w:t>）加强标准宣贯培训</w:t>
      </w:r>
    </w:p>
    <w:p w:rsidR="002210DD" w:rsidRDefault="00A205B8">
      <w:pPr>
        <w:spacing w:line="300" w:lineRule="auto"/>
        <w:ind w:firstLine="480"/>
        <w:rPr>
          <w:szCs w:val="24"/>
        </w:rPr>
      </w:pPr>
      <w:r>
        <w:rPr>
          <w:szCs w:val="24"/>
        </w:rPr>
        <w:t>《规范》发布实施后，各省市应组织地方生态环境主管部门、空气质量监测网络建设相关单位进行《规范》的宣贯，确保相关政府部门、单位知晓、了解以及使用本《规范》。同时，在《规范》实施期间，对于实施过程中碰到的问题，进行统一回复和解答，确保《规范》在长三角区域内得到统一实施。</w:t>
      </w:r>
    </w:p>
    <w:p w:rsidR="002210DD" w:rsidRDefault="00A205B8">
      <w:pPr>
        <w:spacing w:line="300" w:lineRule="auto"/>
        <w:ind w:firstLine="480"/>
        <w:rPr>
          <w:szCs w:val="24"/>
        </w:rPr>
      </w:pPr>
      <w:r>
        <w:rPr>
          <w:szCs w:val="24"/>
        </w:rPr>
        <w:t>（</w:t>
      </w:r>
      <w:r>
        <w:rPr>
          <w:szCs w:val="24"/>
        </w:rPr>
        <w:t>2</w:t>
      </w:r>
      <w:r>
        <w:rPr>
          <w:szCs w:val="24"/>
        </w:rPr>
        <w:t>）加强政策文件对规范引用</w:t>
      </w:r>
    </w:p>
    <w:p w:rsidR="002210DD" w:rsidRDefault="00A205B8">
      <w:pPr>
        <w:spacing w:line="300" w:lineRule="auto"/>
        <w:ind w:firstLine="480"/>
        <w:rPr>
          <w:szCs w:val="24"/>
        </w:rPr>
      </w:pPr>
      <w:r>
        <w:rPr>
          <w:szCs w:val="24"/>
        </w:rPr>
        <w:t>考虑到《规范》为推荐性标准，因此，长三角区域在相关大气污染防治政策中要加强对规范的引用，确保规范有效实施。</w:t>
      </w:r>
    </w:p>
    <w:p w:rsidR="002210DD" w:rsidRDefault="00A205B8">
      <w:pPr>
        <w:spacing w:line="300" w:lineRule="auto"/>
        <w:ind w:firstLine="480"/>
        <w:rPr>
          <w:szCs w:val="24"/>
        </w:rPr>
      </w:pPr>
      <w:r>
        <w:rPr>
          <w:szCs w:val="24"/>
        </w:rPr>
        <w:t>（</w:t>
      </w:r>
      <w:r>
        <w:rPr>
          <w:szCs w:val="24"/>
        </w:rPr>
        <w:t>3</w:t>
      </w:r>
      <w:r>
        <w:rPr>
          <w:szCs w:val="24"/>
        </w:rPr>
        <w:t>）配套区域协调机制</w:t>
      </w:r>
    </w:p>
    <w:p w:rsidR="002210DD" w:rsidRDefault="00A205B8">
      <w:pPr>
        <w:spacing w:line="300" w:lineRule="auto"/>
        <w:ind w:firstLine="480"/>
        <w:rPr>
          <w:color w:val="000000"/>
          <w:szCs w:val="24"/>
        </w:rPr>
      </w:pPr>
      <w:bookmarkStart w:id="2" w:name="_Toc24450889"/>
      <w:r>
        <w:rPr>
          <w:szCs w:val="24"/>
        </w:rPr>
        <w:t>为</w:t>
      </w:r>
      <w:proofErr w:type="gramStart"/>
      <w:r>
        <w:rPr>
          <w:szCs w:val="24"/>
        </w:rPr>
        <w:t>保障长</w:t>
      </w:r>
      <w:proofErr w:type="gramEnd"/>
      <w:r>
        <w:rPr>
          <w:szCs w:val="24"/>
        </w:rPr>
        <w:t>三角区域气态污染物传感器法监测工作按照本文件执行，并</w:t>
      </w:r>
      <w:r>
        <w:rPr>
          <w:color w:val="000000"/>
          <w:szCs w:val="24"/>
        </w:rPr>
        <w:t>推动区域内工作的不断完善，</w:t>
      </w:r>
      <w:proofErr w:type="gramStart"/>
      <w:r>
        <w:rPr>
          <w:color w:val="000000"/>
          <w:szCs w:val="24"/>
        </w:rPr>
        <w:t>宜配套</w:t>
      </w:r>
      <w:proofErr w:type="gramEnd"/>
      <w:r>
        <w:rPr>
          <w:color w:val="000000"/>
          <w:szCs w:val="24"/>
        </w:rPr>
        <w:t>相应协调机制</w:t>
      </w:r>
      <w:bookmarkEnd w:id="2"/>
      <w:r>
        <w:rPr>
          <w:color w:val="000000"/>
          <w:szCs w:val="24"/>
        </w:rPr>
        <w:t>。长三角区</w:t>
      </w:r>
      <w:proofErr w:type="gramStart"/>
      <w:r>
        <w:rPr>
          <w:color w:val="000000"/>
          <w:szCs w:val="24"/>
        </w:rPr>
        <w:t>域环境</w:t>
      </w:r>
      <w:proofErr w:type="gramEnd"/>
      <w:r>
        <w:rPr>
          <w:color w:val="000000"/>
          <w:szCs w:val="24"/>
        </w:rPr>
        <w:t>监测部门组成协调小组，监督本文件的落实情况，协调推动长三角区域内空气质量监测网络建设共同开展。</w:t>
      </w:r>
    </w:p>
    <w:p w:rsidR="002210DD" w:rsidRDefault="00A205B8">
      <w:pPr>
        <w:pStyle w:val="1"/>
      </w:pPr>
      <w:r>
        <w:t>参考文献</w:t>
      </w:r>
    </w:p>
    <w:p w:rsidR="002210DD" w:rsidRDefault="00A205B8">
      <w:pPr>
        <w:numPr>
          <w:ilvl w:val="0"/>
          <w:numId w:val="5"/>
        </w:numPr>
        <w:ind w:firstLine="480"/>
      </w:pPr>
      <w:r>
        <w:t xml:space="preserve">GB 3095 </w:t>
      </w:r>
      <w:r>
        <w:t>环境空气质量标准</w:t>
      </w:r>
    </w:p>
    <w:p w:rsidR="002210DD" w:rsidRDefault="00A205B8">
      <w:pPr>
        <w:numPr>
          <w:ilvl w:val="0"/>
          <w:numId w:val="5"/>
        </w:numPr>
        <w:ind w:firstLine="480"/>
      </w:pPr>
      <w:r>
        <w:t xml:space="preserve">HJ/T 193 </w:t>
      </w:r>
      <w:r>
        <w:t>环境空气质量自动监测技术规范</w:t>
      </w:r>
    </w:p>
    <w:p w:rsidR="002210DD" w:rsidRDefault="00A205B8">
      <w:pPr>
        <w:numPr>
          <w:ilvl w:val="0"/>
          <w:numId w:val="5"/>
        </w:numPr>
        <w:ind w:firstLine="480"/>
      </w:pPr>
      <w:r>
        <w:t xml:space="preserve">HJ 654 </w:t>
      </w:r>
      <w:r>
        <w:t>环境空气气态污染物</w:t>
      </w:r>
      <w:r>
        <w:rPr>
          <w:szCs w:val="24"/>
        </w:rPr>
        <w:t>（</w:t>
      </w:r>
      <w:r>
        <w:rPr>
          <w:szCs w:val="24"/>
        </w:rPr>
        <w:t>SO</w:t>
      </w:r>
      <w:r>
        <w:rPr>
          <w:szCs w:val="24"/>
          <w:vertAlign w:val="subscript"/>
        </w:rPr>
        <w:t>2</w:t>
      </w:r>
      <w:r>
        <w:rPr>
          <w:szCs w:val="24"/>
        </w:rPr>
        <w:t>、</w:t>
      </w:r>
      <w:r>
        <w:rPr>
          <w:szCs w:val="24"/>
        </w:rPr>
        <w:t>NO</w:t>
      </w:r>
      <w:r>
        <w:rPr>
          <w:szCs w:val="24"/>
          <w:vertAlign w:val="subscript"/>
        </w:rPr>
        <w:t>2</w:t>
      </w:r>
      <w:r>
        <w:rPr>
          <w:szCs w:val="24"/>
        </w:rPr>
        <w:t>、</w:t>
      </w:r>
      <w:r>
        <w:rPr>
          <w:szCs w:val="24"/>
        </w:rPr>
        <w:t>O</w:t>
      </w:r>
      <w:r>
        <w:rPr>
          <w:szCs w:val="24"/>
          <w:vertAlign w:val="subscript"/>
        </w:rPr>
        <w:t>3</w:t>
      </w:r>
      <w:r>
        <w:rPr>
          <w:szCs w:val="24"/>
        </w:rPr>
        <w:t>、</w:t>
      </w:r>
      <w:r>
        <w:rPr>
          <w:szCs w:val="24"/>
        </w:rPr>
        <w:t>CO</w:t>
      </w:r>
      <w:r>
        <w:rPr>
          <w:szCs w:val="24"/>
        </w:rPr>
        <w:t>）</w:t>
      </w:r>
      <w:r>
        <w:t>连续自动监测系统技术要求及检测方法</w:t>
      </w:r>
    </w:p>
    <w:p w:rsidR="002210DD" w:rsidRDefault="00A205B8">
      <w:pPr>
        <w:numPr>
          <w:ilvl w:val="0"/>
          <w:numId w:val="5"/>
        </w:numPr>
        <w:ind w:firstLine="480"/>
      </w:pPr>
      <w:r>
        <w:t xml:space="preserve">DB 13/T 2544 </w:t>
      </w:r>
      <w:r>
        <w:t>大气污染防治网格化监测系统技术要求及检测方法</w:t>
      </w:r>
    </w:p>
    <w:p w:rsidR="002210DD" w:rsidRDefault="00A205B8">
      <w:pPr>
        <w:numPr>
          <w:ilvl w:val="0"/>
          <w:numId w:val="5"/>
        </w:numPr>
        <w:ind w:firstLine="480"/>
      </w:pPr>
      <w:r>
        <w:t xml:space="preserve">RJGF 008-2021 </w:t>
      </w:r>
      <w:r>
        <w:t>网格化环境空气质量监测仪认证技术规范</w:t>
      </w:r>
    </w:p>
    <w:p w:rsidR="002210DD" w:rsidRDefault="00A205B8">
      <w:pPr>
        <w:numPr>
          <w:ilvl w:val="0"/>
          <w:numId w:val="5"/>
        </w:numPr>
        <w:ind w:firstLine="480"/>
      </w:pPr>
      <w:r>
        <w:t xml:space="preserve">GB/T 4208-2017 </w:t>
      </w:r>
      <w:r>
        <w:t>外壳防护等级（</w:t>
      </w:r>
      <w:r>
        <w:t xml:space="preserve">IP </w:t>
      </w:r>
      <w:r>
        <w:t>代码）</w:t>
      </w:r>
    </w:p>
    <w:p w:rsidR="002210DD" w:rsidRDefault="00A205B8">
      <w:pPr>
        <w:numPr>
          <w:ilvl w:val="0"/>
          <w:numId w:val="5"/>
        </w:numPr>
        <w:ind w:firstLine="480"/>
      </w:pPr>
      <w:proofErr w:type="gramStart"/>
      <w:r>
        <w:lastRenderedPageBreak/>
        <w:t>环办监测</w:t>
      </w:r>
      <w:proofErr w:type="gramEnd"/>
      <w:r>
        <w:t>函</w:t>
      </w:r>
      <w:r>
        <w:t>[2017] 2027</w:t>
      </w:r>
      <w:r>
        <w:t>号</w:t>
      </w:r>
      <w:r>
        <w:t xml:space="preserve"> </w:t>
      </w:r>
      <w:r>
        <w:t>大气</w:t>
      </w:r>
      <w:r>
        <w:t>PM2.5</w:t>
      </w:r>
      <w:r>
        <w:t>网格化监测技术要求和检测方法技术指南</w:t>
      </w:r>
    </w:p>
    <w:p w:rsidR="002210DD" w:rsidRDefault="002210DD">
      <w:pPr>
        <w:ind w:firstLine="480"/>
      </w:pPr>
    </w:p>
    <w:p w:rsidR="002210DD" w:rsidRDefault="002210DD">
      <w:pPr>
        <w:ind w:firstLine="480"/>
      </w:pPr>
    </w:p>
    <w:p w:rsidR="002210DD" w:rsidRDefault="002210DD">
      <w:pPr>
        <w:ind w:firstLine="480"/>
      </w:pPr>
    </w:p>
    <w:p w:rsidR="002210DD" w:rsidRDefault="002210DD">
      <w:pPr>
        <w:ind w:firstLine="480"/>
      </w:pPr>
    </w:p>
    <w:sectPr w:rsidR="002210DD">
      <w:headerReference w:type="even" r:id="rId48"/>
      <w:headerReference w:type="default" r:id="rId49"/>
      <w:footerReference w:type="even" r:id="rId50"/>
      <w:footerReference w:type="default" r:id="rId51"/>
      <w:headerReference w:type="first" r:id="rId52"/>
      <w:footerReference w:type="first" r:id="rId5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550A" w:rsidRDefault="00D9550A">
      <w:pPr>
        <w:spacing w:line="240" w:lineRule="auto"/>
        <w:ind w:firstLine="480"/>
      </w:pPr>
      <w:r>
        <w:separator/>
      </w:r>
    </w:p>
  </w:endnote>
  <w:endnote w:type="continuationSeparator" w:id="0">
    <w:p w:rsidR="00D9550A" w:rsidRDefault="00D9550A">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宋体">
    <w:altName w:val="SimSun"/>
    <w:panose1 w:val="02010600030101010101"/>
    <w:charset w:val="86"/>
    <w:family w:val="auto"/>
    <w:pitch w:val="variable"/>
    <w:sig w:usb0="00000003" w:usb1="288F0000" w:usb2="00000016" w:usb3="00000000" w:csb0="00040001" w:csb1="00000000"/>
  </w:font>
  <w:font w:name="Times New Roman">
    <w:altName w:val="Times New Roman"/>
    <w:panose1 w:val="02020603050405020304"/>
    <w:charset w:val="00"/>
    <w:family w:val="roman"/>
    <w:pitch w:val="variable"/>
    <w:sig w:usb0="E0002EFF" w:usb1="C000785B" w:usb2="00000009" w:usb3="00000000" w:csb0="000001FF" w:csb1="00000000"/>
  </w:font>
  <w:font w:name="黑体">
    <w:altName w:val="黑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10DD" w:rsidRDefault="002210DD">
    <w:pPr>
      <w:pStyle w:val="a4"/>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10DD" w:rsidRDefault="002210DD">
    <w:pPr>
      <w:pStyle w:val="a4"/>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10DD" w:rsidRDefault="002210DD">
    <w:pPr>
      <w:pStyle w:val="a4"/>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550A" w:rsidRDefault="00D9550A">
      <w:pPr>
        <w:ind w:firstLine="480"/>
      </w:pPr>
      <w:r>
        <w:separator/>
      </w:r>
    </w:p>
  </w:footnote>
  <w:footnote w:type="continuationSeparator" w:id="0">
    <w:p w:rsidR="00D9550A" w:rsidRDefault="00D9550A">
      <w:pPr>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10DD" w:rsidRDefault="002210DD">
    <w:pPr>
      <w:pStyle w:val="a5"/>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10DD" w:rsidRDefault="002210DD">
    <w:pPr>
      <w:pStyle w:val="a5"/>
      <w:pBdr>
        <w:bottom w:val="none" w:sz="0" w:space="1" w:color="auto"/>
      </w:pBdr>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10DD" w:rsidRDefault="002210DD">
    <w:pPr>
      <w:pStyle w:val="a5"/>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CE2CDCEC"/>
    <w:multiLevelType w:val="multilevel"/>
    <w:tmpl w:val="CE2CDCEC"/>
    <w:lvl w:ilvl="0">
      <w:start w:val="1"/>
      <w:numFmt w:val="decimal"/>
      <w:pStyle w:val="1"/>
      <w:lvlText w:val="%1"/>
      <w:lvlJc w:val="left"/>
      <w:pPr>
        <w:ind w:left="432" w:hanging="432"/>
      </w:pPr>
      <w:rPr>
        <w:rFonts w:ascii="宋体" w:eastAsia="宋体" w:hAnsi="宋体" w:cs="宋体" w:hint="default"/>
      </w:rPr>
    </w:lvl>
    <w:lvl w:ilvl="1">
      <w:start w:val="1"/>
      <w:numFmt w:val="decimal"/>
      <w:pStyle w:val="2"/>
      <w:lvlText w:val="%1.%2"/>
      <w:lvlJc w:val="left"/>
      <w:pPr>
        <w:ind w:left="0" w:firstLine="0"/>
      </w:pPr>
      <w:rPr>
        <w:rFonts w:ascii="宋体" w:eastAsia="宋体" w:hAnsi="宋体" w:cs="宋体" w:hint="default"/>
      </w:rPr>
    </w:lvl>
    <w:lvl w:ilvl="2">
      <w:start w:val="1"/>
      <w:numFmt w:val="decimal"/>
      <w:pStyle w:val="3"/>
      <w:lvlText w:val="%1.%2.%3"/>
      <w:lvlJc w:val="left"/>
      <w:pPr>
        <w:ind w:left="720" w:hanging="720"/>
      </w:pPr>
      <w:rPr>
        <w:rFonts w:ascii="宋体" w:eastAsia="宋体" w:hAnsi="宋体" w:cs="宋体" w:hint="default"/>
      </w:rPr>
    </w:lvl>
    <w:lvl w:ilvl="3">
      <w:start w:val="1"/>
      <w:numFmt w:val="decimal"/>
      <w:pStyle w:val="4"/>
      <w:lvlText w:val="%1.%2.%3.%4"/>
      <w:lvlJc w:val="left"/>
      <w:pPr>
        <w:ind w:left="864" w:hanging="864"/>
      </w:pPr>
      <w:rPr>
        <w:rFonts w:ascii="宋体" w:eastAsia="宋体" w:hAnsi="宋体" w:cs="宋体"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1" w:hanging="1151"/>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3" w:hanging="1583"/>
      </w:pPr>
      <w:rPr>
        <w:rFonts w:hint="default"/>
      </w:rPr>
    </w:lvl>
  </w:abstractNum>
  <w:abstractNum w:abstractNumId="1" w15:restartNumberingAfterBreak="0">
    <w:nsid w:val="EDCDA4FF"/>
    <w:multiLevelType w:val="multilevel"/>
    <w:tmpl w:val="EDCDA4FF"/>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2" w15:restartNumberingAfterBreak="0">
    <w:nsid w:val="08B597F9"/>
    <w:multiLevelType w:val="singleLevel"/>
    <w:tmpl w:val="08B597F9"/>
    <w:lvl w:ilvl="0">
      <w:start w:val="1"/>
      <w:numFmt w:val="lowerLetter"/>
      <w:suff w:val="nothing"/>
      <w:lvlText w:val="%1）"/>
      <w:lvlJc w:val="left"/>
    </w:lvl>
  </w:abstractNum>
  <w:abstractNum w:abstractNumId="3" w15:restartNumberingAfterBreak="0">
    <w:nsid w:val="25438214"/>
    <w:multiLevelType w:val="singleLevel"/>
    <w:tmpl w:val="25438214"/>
    <w:lvl w:ilvl="0">
      <w:start w:val="1"/>
      <w:numFmt w:val="decimal"/>
      <w:lvlText w:val="[%1]"/>
      <w:lvlJc w:val="left"/>
      <w:pPr>
        <w:tabs>
          <w:tab w:val="left" w:pos="420"/>
        </w:tabs>
        <w:ind w:left="425" w:hanging="425"/>
      </w:pPr>
      <w:rPr>
        <w:rFonts w:hint="default"/>
      </w:rPr>
    </w:lvl>
  </w:abstractNum>
  <w:abstractNum w:abstractNumId="4" w15:restartNumberingAfterBreak="0">
    <w:nsid w:val="4FB49D71"/>
    <w:multiLevelType w:val="singleLevel"/>
    <w:tmpl w:val="4FB49D71"/>
    <w:lvl w:ilvl="0">
      <w:start w:val="1"/>
      <w:numFmt w:val="decimal"/>
      <w:suff w:val="nothing"/>
      <w:lvlText w:val="（%1）"/>
      <w:lvlJc w:val="left"/>
    </w:lvl>
  </w:abstractNum>
  <w:num w:numId="1">
    <w:abstractNumId w:val="0"/>
  </w:num>
  <w:num w:numId="2">
    <w:abstractNumId w:val="1"/>
  </w:num>
  <w:num w:numId="3">
    <w:abstractNumId w:val="4"/>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SystemFonts/>
  <w:bordersDoNotSurroundHeader/>
  <w:bordersDoNotSurroundFooter/>
  <w:proofState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g3YzU4M2FlYTZkZmVlODk3MjhhYjliZWUwNWRkZGUifQ=="/>
  </w:docVars>
  <w:rsids>
    <w:rsidRoot w:val="00740E20"/>
    <w:rsid w:val="0016495F"/>
    <w:rsid w:val="001728AB"/>
    <w:rsid w:val="00216C9D"/>
    <w:rsid w:val="002210DD"/>
    <w:rsid w:val="00296D6E"/>
    <w:rsid w:val="00352B11"/>
    <w:rsid w:val="003B180F"/>
    <w:rsid w:val="0042760B"/>
    <w:rsid w:val="004E6899"/>
    <w:rsid w:val="005277FF"/>
    <w:rsid w:val="00562C56"/>
    <w:rsid w:val="006343E9"/>
    <w:rsid w:val="006360BD"/>
    <w:rsid w:val="007230F8"/>
    <w:rsid w:val="0073504F"/>
    <w:rsid w:val="00740E20"/>
    <w:rsid w:val="00765F03"/>
    <w:rsid w:val="007D5351"/>
    <w:rsid w:val="0086013E"/>
    <w:rsid w:val="00960D6F"/>
    <w:rsid w:val="009A165D"/>
    <w:rsid w:val="00A031A4"/>
    <w:rsid w:val="00A205B8"/>
    <w:rsid w:val="00A81B25"/>
    <w:rsid w:val="00AC5170"/>
    <w:rsid w:val="00B26E42"/>
    <w:rsid w:val="00B7534B"/>
    <w:rsid w:val="00BF22A6"/>
    <w:rsid w:val="00C13AA3"/>
    <w:rsid w:val="00C258D3"/>
    <w:rsid w:val="00D9550A"/>
    <w:rsid w:val="00DE65E4"/>
    <w:rsid w:val="00FA4DF6"/>
    <w:rsid w:val="01035AE6"/>
    <w:rsid w:val="011C4E38"/>
    <w:rsid w:val="011C64FD"/>
    <w:rsid w:val="012521DF"/>
    <w:rsid w:val="013535FD"/>
    <w:rsid w:val="013F17F7"/>
    <w:rsid w:val="015556A4"/>
    <w:rsid w:val="015F39FD"/>
    <w:rsid w:val="016360AA"/>
    <w:rsid w:val="016D6172"/>
    <w:rsid w:val="017464BC"/>
    <w:rsid w:val="017E4D7F"/>
    <w:rsid w:val="018A74C6"/>
    <w:rsid w:val="01981D96"/>
    <w:rsid w:val="01B01BFF"/>
    <w:rsid w:val="01B17DCB"/>
    <w:rsid w:val="01B40E37"/>
    <w:rsid w:val="01BC1095"/>
    <w:rsid w:val="01C51B90"/>
    <w:rsid w:val="01C56EAA"/>
    <w:rsid w:val="01E32353"/>
    <w:rsid w:val="01F546CC"/>
    <w:rsid w:val="020D4ADA"/>
    <w:rsid w:val="021349F4"/>
    <w:rsid w:val="022B1CB2"/>
    <w:rsid w:val="023115EB"/>
    <w:rsid w:val="02364399"/>
    <w:rsid w:val="023F6059"/>
    <w:rsid w:val="024F63ED"/>
    <w:rsid w:val="025805C0"/>
    <w:rsid w:val="025E00B0"/>
    <w:rsid w:val="026873C8"/>
    <w:rsid w:val="026D719D"/>
    <w:rsid w:val="027F1005"/>
    <w:rsid w:val="02882054"/>
    <w:rsid w:val="02987B74"/>
    <w:rsid w:val="02A32C2D"/>
    <w:rsid w:val="02A66A1D"/>
    <w:rsid w:val="02AD68B8"/>
    <w:rsid w:val="02B1283F"/>
    <w:rsid w:val="02B13B44"/>
    <w:rsid w:val="02B75BB7"/>
    <w:rsid w:val="02D56613"/>
    <w:rsid w:val="02E52903"/>
    <w:rsid w:val="02E616BD"/>
    <w:rsid w:val="02ED5D33"/>
    <w:rsid w:val="02F5219B"/>
    <w:rsid w:val="03052DC3"/>
    <w:rsid w:val="0317682F"/>
    <w:rsid w:val="03206FBE"/>
    <w:rsid w:val="03326735"/>
    <w:rsid w:val="033A0316"/>
    <w:rsid w:val="034D4263"/>
    <w:rsid w:val="03511EF7"/>
    <w:rsid w:val="03784C22"/>
    <w:rsid w:val="037E13E0"/>
    <w:rsid w:val="038048F2"/>
    <w:rsid w:val="038806C2"/>
    <w:rsid w:val="038C1989"/>
    <w:rsid w:val="038D5DDB"/>
    <w:rsid w:val="03911CB4"/>
    <w:rsid w:val="039F771C"/>
    <w:rsid w:val="03AC15BD"/>
    <w:rsid w:val="03AD7FB3"/>
    <w:rsid w:val="03BA1351"/>
    <w:rsid w:val="03D56726"/>
    <w:rsid w:val="03E56DE9"/>
    <w:rsid w:val="03E66BE2"/>
    <w:rsid w:val="03FF44EF"/>
    <w:rsid w:val="040B004F"/>
    <w:rsid w:val="040D3C6F"/>
    <w:rsid w:val="041B30A2"/>
    <w:rsid w:val="043354D8"/>
    <w:rsid w:val="044005DD"/>
    <w:rsid w:val="04413043"/>
    <w:rsid w:val="044179BA"/>
    <w:rsid w:val="04493D7C"/>
    <w:rsid w:val="045D70C9"/>
    <w:rsid w:val="04603240"/>
    <w:rsid w:val="048E30EB"/>
    <w:rsid w:val="04944651"/>
    <w:rsid w:val="04945F40"/>
    <w:rsid w:val="04A73C7D"/>
    <w:rsid w:val="04B456BC"/>
    <w:rsid w:val="05073D47"/>
    <w:rsid w:val="050B0E7F"/>
    <w:rsid w:val="050B1BDD"/>
    <w:rsid w:val="050C1C46"/>
    <w:rsid w:val="05144A40"/>
    <w:rsid w:val="05160A69"/>
    <w:rsid w:val="051F189D"/>
    <w:rsid w:val="0523342D"/>
    <w:rsid w:val="05281CD2"/>
    <w:rsid w:val="05410550"/>
    <w:rsid w:val="054C3220"/>
    <w:rsid w:val="055F3AAD"/>
    <w:rsid w:val="05633AAF"/>
    <w:rsid w:val="056A4DD2"/>
    <w:rsid w:val="05761F9C"/>
    <w:rsid w:val="05893D6E"/>
    <w:rsid w:val="05B40FA7"/>
    <w:rsid w:val="05BE4BE2"/>
    <w:rsid w:val="05D04630"/>
    <w:rsid w:val="05D37841"/>
    <w:rsid w:val="05D545CF"/>
    <w:rsid w:val="05DC69A5"/>
    <w:rsid w:val="05F80BF7"/>
    <w:rsid w:val="05F872A7"/>
    <w:rsid w:val="06100162"/>
    <w:rsid w:val="06203DFD"/>
    <w:rsid w:val="06216754"/>
    <w:rsid w:val="064C04FF"/>
    <w:rsid w:val="064C40CD"/>
    <w:rsid w:val="06600893"/>
    <w:rsid w:val="06604083"/>
    <w:rsid w:val="066D77C3"/>
    <w:rsid w:val="06767CDE"/>
    <w:rsid w:val="067A37CA"/>
    <w:rsid w:val="067C79F4"/>
    <w:rsid w:val="068A632E"/>
    <w:rsid w:val="069D7337"/>
    <w:rsid w:val="06A16E4F"/>
    <w:rsid w:val="06A26E14"/>
    <w:rsid w:val="06B03F71"/>
    <w:rsid w:val="06BD6242"/>
    <w:rsid w:val="06C37A23"/>
    <w:rsid w:val="06E026E7"/>
    <w:rsid w:val="070715F6"/>
    <w:rsid w:val="07145667"/>
    <w:rsid w:val="07150323"/>
    <w:rsid w:val="071860B1"/>
    <w:rsid w:val="07292E9F"/>
    <w:rsid w:val="07366C72"/>
    <w:rsid w:val="07464042"/>
    <w:rsid w:val="07797319"/>
    <w:rsid w:val="07A178D9"/>
    <w:rsid w:val="07AA5FF2"/>
    <w:rsid w:val="07B436A2"/>
    <w:rsid w:val="07C7624E"/>
    <w:rsid w:val="07CA6A21"/>
    <w:rsid w:val="080001DF"/>
    <w:rsid w:val="08021790"/>
    <w:rsid w:val="08035903"/>
    <w:rsid w:val="080D5F6B"/>
    <w:rsid w:val="082207C4"/>
    <w:rsid w:val="08461FDB"/>
    <w:rsid w:val="08550F48"/>
    <w:rsid w:val="08695E40"/>
    <w:rsid w:val="0874637C"/>
    <w:rsid w:val="088D454D"/>
    <w:rsid w:val="08B11525"/>
    <w:rsid w:val="08B35453"/>
    <w:rsid w:val="08B80558"/>
    <w:rsid w:val="08C22B7B"/>
    <w:rsid w:val="08D347B8"/>
    <w:rsid w:val="08D3629B"/>
    <w:rsid w:val="08F33B6F"/>
    <w:rsid w:val="08FB6360"/>
    <w:rsid w:val="08FB7009"/>
    <w:rsid w:val="08FF7243"/>
    <w:rsid w:val="09054888"/>
    <w:rsid w:val="090756ED"/>
    <w:rsid w:val="09137FD8"/>
    <w:rsid w:val="09150825"/>
    <w:rsid w:val="09216B15"/>
    <w:rsid w:val="09237E00"/>
    <w:rsid w:val="0939233D"/>
    <w:rsid w:val="093B3C6D"/>
    <w:rsid w:val="09625D07"/>
    <w:rsid w:val="097565CD"/>
    <w:rsid w:val="0980217B"/>
    <w:rsid w:val="09807514"/>
    <w:rsid w:val="098619AE"/>
    <w:rsid w:val="09932C80"/>
    <w:rsid w:val="099F6A5F"/>
    <w:rsid w:val="09A42BA6"/>
    <w:rsid w:val="09A500BC"/>
    <w:rsid w:val="09B10788"/>
    <w:rsid w:val="09C330EB"/>
    <w:rsid w:val="09C37FF5"/>
    <w:rsid w:val="09D058C2"/>
    <w:rsid w:val="09E5262B"/>
    <w:rsid w:val="09E90A6B"/>
    <w:rsid w:val="09EB36E2"/>
    <w:rsid w:val="09F40D51"/>
    <w:rsid w:val="09F723A0"/>
    <w:rsid w:val="09FD49E2"/>
    <w:rsid w:val="0A1D4B19"/>
    <w:rsid w:val="0A4C5E14"/>
    <w:rsid w:val="0A5517FB"/>
    <w:rsid w:val="0A787AE9"/>
    <w:rsid w:val="0A9E2B9A"/>
    <w:rsid w:val="0A9F6C25"/>
    <w:rsid w:val="0AAE507C"/>
    <w:rsid w:val="0AB015E6"/>
    <w:rsid w:val="0AC32113"/>
    <w:rsid w:val="0AC776F1"/>
    <w:rsid w:val="0ACF5300"/>
    <w:rsid w:val="0AE13FBE"/>
    <w:rsid w:val="0AE223B5"/>
    <w:rsid w:val="0AE326C9"/>
    <w:rsid w:val="0AE60603"/>
    <w:rsid w:val="0AEC3E94"/>
    <w:rsid w:val="0AF2790D"/>
    <w:rsid w:val="0AFB5BCA"/>
    <w:rsid w:val="0B063D40"/>
    <w:rsid w:val="0B0B6D06"/>
    <w:rsid w:val="0B0F737A"/>
    <w:rsid w:val="0B1C204F"/>
    <w:rsid w:val="0B304DED"/>
    <w:rsid w:val="0B56449F"/>
    <w:rsid w:val="0B6C77B9"/>
    <w:rsid w:val="0B6F56EF"/>
    <w:rsid w:val="0B7409E7"/>
    <w:rsid w:val="0B7802D0"/>
    <w:rsid w:val="0B853CF5"/>
    <w:rsid w:val="0B873059"/>
    <w:rsid w:val="0B925AA8"/>
    <w:rsid w:val="0BA61553"/>
    <w:rsid w:val="0BC2666B"/>
    <w:rsid w:val="0BCF7054"/>
    <w:rsid w:val="0BD63831"/>
    <w:rsid w:val="0BE4274A"/>
    <w:rsid w:val="0BE66AC3"/>
    <w:rsid w:val="0BEC179B"/>
    <w:rsid w:val="0BF00901"/>
    <w:rsid w:val="0BF8363B"/>
    <w:rsid w:val="0BF97392"/>
    <w:rsid w:val="0C0A5250"/>
    <w:rsid w:val="0C162DA4"/>
    <w:rsid w:val="0C3275C2"/>
    <w:rsid w:val="0C341E50"/>
    <w:rsid w:val="0C476233"/>
    <w:rsid w:val="0C584EF0"/>
    <w:rsid w:val="0C6046A0"/>
    <w:rsid w:val="0C721CEB"/>
    <w:rsid w:val="0C7E602C"/>
    <w:rsid w:val="0C8A1204"/>
    <w:rsid w:val="0C8E232D"/>
    <w:rsid w:val="0CA535B9"/>
    <w:rsid w:val="0CB7398F"/>
    <w:rsid w:val="0CBC18D8"/>
    <w:rsid w:val="0CC021A1"/>
    <w:rsid w:val="0CC92F80"/>
    <w:rsid w:val="0CD316A6"/>
    <w:rsid w:val="0CD870A4"/>
    <w:rsid w:val="0CDA1047"/>
    <w:rsid w:val="0CDA7A1E"/>
    <w:rsid w:val="0D07691C"/>
    <w:rsid w:val="0D0A37B1"/>
    <w:rsid w:val="0D1847D3"/>
    <w:rsid w:val="0D1B7222"/>
    <w:rsid w:val="0D257E24"/>
    <w:rsid w:val="0D276003"/>
    <w:rsid w:val="0D38421C"/>
    <w:rsid w:val="0D3C4EFE"/>
    <w:rsid w:val="0D3D6417"/>
    <w:rsid w:val="0D3F1CB2"/>
    <w:rsid w:val="0D496B6B"/>
    <w:rsid w:val="0D5C189B"/>
    <w:rsid w:val="0D626ABB"/>
    <w:rsid w:val="0D636282"/>
    <w:rsid w:val="0D650370"/>
    <w:rsid w:val="0D7916B2"/>
    <w:rsid w:val="0D870D72"/>
    <w:rsid w:val="0DA53390"/>
    <w:rsid w:val="0DB17203"/>
    <w:rsid w:val="0DB3372D"/>
    <w:rsid w:val="0DB7248D"/>
    <w:rsid w:val="0DB93D31"/>
    <w:rsid w:val="0DC670C2"/>
    <w:rsid w:val="0DCD6308"/>
    <w:rsid w:val="0DD423A8"/>
    <w:rsid w:val="0DE634D5"/>
    <w:rsid w:val="0DFC059E"/>
    <w:rsid w:val="0E043686"/>
    <w:rsid w:val="0E200DA8"/>
    <w:rsid w:val="0E4374C9"/>
    <w:rsid w:val="0E4B00A6"/>
    <w:rsid w:val="0E552594"/>
    <w:rsid w:val="0E55717C"/>
    <w:rsid w:val="0E7C6DD2"/>
    <w:rsid w:val="0E7E463B"/>
    <w:rsid w:val="0E8026C4"/>
    <w:rsid w:val="0E9C0A37"/>
    <w:rsid w:val="0EA97EC6"/>
    <w:rsid w:val="0EBA58EA"/>
    <w:rsid w:val="0EC36058"/>
    <w:rsid w:val="0ED779B5"/>
    <w:rsid w:val="0EE01950"/>
    <w:rsid w:val="0EE77AE6"/>
    <w:rsid w:val="0F1B6411"/>
    <w:rsid w:val="0F1D4214"/>
    <w:rsid w:val="0F2F6F9E"/>
    <w:rsid w:val="0F350118"/>
    <w:rsid w:val="0F384226"/>
    <w:rsid w:val="0F38733A"/>
    <w:rsid w:val="0F411D15"/>
    <w:rsid w:val="0F423CDD"/>
    <w:rsid w:val="0F4405D4"/>
    <w:rsid w:val="0F444AF3"/>
    <w:rsid w:val="0F4641A2"/>
    <w:rsid w:val="0F627091"/>
    <w:rsid w:val="0F707EAE"/>
    <w:rsid w:val="0F8B015C"/>
    <w:rsid w:val="0F8E7D0B"/>
    <w:rsid w:val="0F974E10"/>
    <w:rsid w:val="0F9A2FAD"/>
    <w:rsid w:val="0F9E5026"/>
    <w:rsid w:val="0FB07998"/>
    <w:rsid w:val="0FB209EB"/>
    <w:rsid w:val="0FB97AFA"/>
    <w:rsid w:val="0FCE471C"/>
    <w:rsid w:val="0FD9600A"/>
    <w:rsid w:val="0FDF3A5C"/>
    <w:rsid w:val="0FF275CA"/>
    <w:rsid w:val="10060707"/>
    <w:rsid w:val="1009215B"/>
    <w:rsid w:val="100E0423"/>
    <w:rsid w:val="10135AA2"/>
    <w:rsid w:val="10154D31"/>
    <w:rsid w:val="101C7F96"/>
    <w:rsid w:val="10212DF1"/>
    <w:rsid w:val="102C4683"/>
    <w:rsid w:val="102F7D69"/>
    <w:rsid w:val="10304C25"/>
    <w:rsid w:val="103420A5"/>
    <w:rsid w:val="104A56B7"/>
    <w:rsid w:val="104D0171"/>
    <w:rsid w:val="10592EAC"/>
    <w:rsid w:val="10892D3A"/>
    <w:rsid w:val="108D2879"/>
    <w:rsid w:val="108D4A90"/>
    <w:rsid w:val="109F2FDB"/>
    <w:rsid w:val="10AC2BA7"/>
    <w:rsid w:val="10CA3483"/>
    <w:rsid w:val="10D919F4"/>
    <w:rsid w:val="11007453"/>
    <w:rsid w:val="11056D1C"/>
    <w:rsid w:val="110F4B30"/>
    <w:rsid w:val="111251AE"/>
    <w:rsid w:val="113F7D2B"/>
    <w:rsid w:val="116523DB"/>
    <w:rsid w:val="11794FF2"/>
    <w:rsid w:val="118B08A8"/>
    <w:rsid w:val="11902921"/>
    <w:rsid w:val="11A42810"/>
    <w:rsid w:val="11A8148F"/>
    <w:rsid w:val="11BF3B1D"/>
    <w:rsid w:val="11DD7BF6"/>
    <w:rsid w:val="11E20E7F"/>
    <w:rsid w:val="12096402"/>
    <w:rsid w:val="12100008"/>
    <w:rsid w:val="12240C26"/>
    <w:rsid w:val="122648E7"/>
    <w:rsid w:val="12281C1A"/>
    <w:rsid w:val="12350055"/>
    <w:rsid w:val="123D256F"/>
    <w:rsid w:val="124548CF"/>
    <w:rsid w:val="12492C39"/>
    <w:rsid w:val="125879D7"/>
    <w:rsid w:val="125F1A32"/>
    <w:rsid w:val="12643B6A"/>
    <w:rsid w:val="126540CC"/>
    <w:rsid w:val="126E4968"/>
    <w:rsid w:val="12756DC1"/>
    <w:rsid w:val="128A20B2"/>
    <w:rsid w:val="12953F70"/>
    <w:rsid w:val="12C96C27"/>
    <w:rsid w:val="12D43639"/>
    <w:rsid w:val="12E375B1"/>
    <w:rsid w:val="12E420F4"/>
    <w:rsid w:val="12EE65D6"/>
    <w:rsid w:val="12F7148D"/>
    <w:rsid w:val="12F77933"/>
    <w:rsid w:val="12FD7174"/>
    <w:rsid w:val="13044544"/>
    <w:rsid w:val="13141499"/>
    <w:rsid w:val="134200BA"/>
    <w:rsid w:val="134D57E6"/>
    <w:rsid w:val="134D644D"/>
    <w:rsid w:val="134D74D7"/>
    <w:rsid w:val="135F57AA"/>
    <w:rsid w:val="136160E6"/>
    <w:rsid w:val="136B4BC6"/>
    <w:rsid w:val="136B4FEF"/>
    <w:rsid w:val="13823670"/>
    <w:rsid w:val="13993C64"/>
    <w:rsid w:val="139A199E"/>
    <w:rsid w:val="13B20EA1"/>
    <w:rsid w:val="13D2605B"/>
    <w:rsid w:val="13ED1B04"/>
    <w:rsid w:val="13EE30CC"/>
    <w:rsid w:val="13F004AE"/>
    <w:rsid w:val="14027EAF"/>
    <w:rsid w:val="14263B69"/>
    <w:rsid w:val="142779B7"/>
    <w:rsid w:val="143103AB"/>
    <w:rsid w:val="144A34DD"/>
    <w:rsid w:val="145133FD"/>
    <w:rsid w:val="146C5630"/>
    <w:rsid w:val="148966C2"/>
    <w:rsid w:val="149F5D3A"/>
    <w:rsid w:val="14A843DF"/>
    <w:rsid w:val="14AB12F3"/>
    <w:rsid w:val="14C7668E"/>
    <w:rsid w:val="14CF36B0"/>
    <w:rsid w:val="14D709D0"/>
    <w:rsid w:val="14D93B60"/>
    <w:rsid w:val="150735C9"/>
    <w:rsid w:val="150C68CB"/>
    <w:rsid w:val="151854B0"/>
    <w:rsid w:val="152D00DC"/>
    <w:rsid w:val="1535398B"/>
    <w:rsid w:val="154A5C6A"/>
    <w:rsid w:val="15550B48"/>
    <w:rsid w:val="15657406"/>
    <w:rsid w:val="15692549"/>
    <w:rsid w:val="156E30E2"/>
    <w:rsid w:val="15732BCF"/>
    <w:rsid w:val="157560DB"/>
    <w:rsid w:val="158226E9"/>
    <w:rsid w:val="158E5532"/>
    <w:rsid w:val="15923F4F"/>
    <w:rsid w:val="15B67FE9"/>
    <w:rsid w:val="15C046ED"/>
    <w:rsid w:val="15D226C0"/>
    <w:rsid w:val="15D9328D"/>
    <w:rsid w:val="15E25BC2"/>
    <w:rsid w:val="15E769F0"/>
    <w:rsid w:val="15FA6004"/>
    <w:rsid w:val="16037707"/>
    <w:rsid w:val="16362EA5"/>
    <w:rsid w:val="1638549E"/>
    <w:rsid w:val="163C3961"/>
    <w:rsid w:val="163E1922"/>
    <w:rsid w:val="16417A7E"/>
    <w:rsid w:val="16433F4A"/>
    <w:rsid w:val="16434CA4"/>
    <w:rsid w:val="165A51A1"/>
    <w:rsid w:val="16655749"/>
    <w:rsid w:val="167D1AF0"/>
    <w:rsid w:val="169B0BD9"/>
    <w:rsid w:val="16B02EFA"/>
    <w:rsid w:val="16B15897"/>
    <w:rsid w:val="16C07355"/>
    <w:rsid w:val="16C52A64"/>
    <w:rsid w:val="16F15A1F"/>
    <w:rsid w:val="16F5594B"/>
    <w:rsid w:val="170630F0"/>
    <w:rsid w:val="17172592"/>
    <w:rsid w:val="171E0E00"/>
    <w:rsid w:val="171E6442"/>
    <w:rsid w:val="1723091A"/>
    <w:rsid w:val="173A0F53"/>
    <w:rsid w:val="173B2749"/>
    <w:rsid w:val="17406E19"/>
    <w:rsid w:val="174943C7"/>
    <w:rsid w:val="174B20E5"/>
    <w:rsid w:val="17526A5C"/>
    <w:rsid w:val="17613596"/>
    <w:rsid w:val="1777166A"/>
    <w:rsid w:val="177C742D"/>
    <w:rsid w:val="177D6FF6"/>
    <w:rsid w:val="178E722E"/>
    <w:rsid w:val="17A519FA"/>
    <w:rsid w:val="17A804C9"/>
    <w:rsid w:val="17AE1876"/>
    <w:rsid w:val="17B14D68"/>
    <w:rsid w:val="17B7074A"/>
    <w:rsid w:val="17BF05F5"/>
    <w:rsid w:val="17D336D0"/>
    <w:rsid w:val="17DF2075"/>
    <w:rsid w:val="17E53404"/>
    <w:rsid w:val="17E94CA2"/>
    <w:rsid w:val="17F23E05"/>
    <w:rsid w:val="17FA12F8"/>
    <w:rsid w:val="180F4B06"/>
    <w:rsid w:val="18521DAB"/>
    <w:rsid w:val="1856254E"/>
    <w:rsid w:val="18835F02"/>
    <w:rsid w:val="18891529"/>
    <w:rsid w:val="18902639"/>
    <w:rsid w:val="189161C2"/>
    <w:rsid w:val="18940E4D"/>
    <w:rsid w:val="189D14A6"/>
    <w:rsid w:val="18CE17D8"/>
    <w:rsid w:val="18D43BBF"/>
    <w:rsid w:val="18DA6AF5"/>
    <w:rsid w:val="18E5490E"/>
    <w:rsid w:val="19007C6F"/>
    <w:rsid w:val="19017FAF"/>
    <w:rsid w:val="19026DCB"/>
    <w:rsid w:val="1904381C"/>
    <w:rsid w:val="19055E1E"/>
    <w:rsid w:val="19142CAF"/>
    <w:rsid w:val="191871D4"/>
    <w:rsid w:val="191E7DBB"/>
    <w:rsid w:val="193C67EC"/>
    <w:rsid w:val="194F7DE2"/>
    <w:rsid w:val="196B4FE4"/>
    <w:rsid w:val="1979581B"/>
    <w:rsid w:val="19847724"/>
    <w:rsid w:val="199146B5"/>
    <w:rsid w:val="1993734A"/>
    <w:rsid w:val="199A3CD7"/>
    <w:rsid w:val="19E45AA4"/>
    <w:rsid w:val="19E539BB"/>
    <w:rsid w:val="19ED4C74"/>
    <w:rsid w:val="19F84A2C"/>
    <w:rsid w:val="19FB6DB6"/>
    <w:rsid w:val="1A023136"/>
    <w:rsid w:val="1A136466"/>
    <w:rsid w:val="1A266AD9"/>
    <w:rsid w:val="1A386736"/>
    <w:rsid w:val="1A3C44AF"/>
    <w:rsid w:val="1A4268EB"/>
    <w:rsid w:val="1A477665"/>
    <w:rsid w:val="1A523F88"/>
    <w:rsid w:val="1A5B41A2"/>
    <w:rsid w:val="1A605469"/>
    <w:rsid w:val="1A703052"/>
    <w:rsid w:val="1A7927D0"/>
    <w:rsid w:val="1AA9696A"/>
    <w:rsid w:val="1AAB197C"/>
    <w:rsid w:val="1AB22426"/>
    <w:rsid w:val="1AB561E0"/>
    <w:rsid w:val="1ABC502B"/>
    <w:rsid w:val="1AC22995"/>
    <w:rsid w:val="1AC55B1D"/>
    <w:rsid w:val="1AD559B1"/>
    <w:rsid w:val="1AE40214"/>
    <w:rsid w:val="1AE41F9B"/>
    <w:rsid w:val="1AE5644C"/>
    <w:rsid w:val="1AF70E67"/>
    <w:rsid w:val="1AFC7CCE"/>
    <w:rsid w:val="1B017347"/>
    <w:rsid w:val="1B1B3008"/>
    <w:rsid w:val="1B226685"/>
    <w:rsid w:val="1B3013C4"/>
    <w:rsid w:val="1B331FE6"/>
    <w:rsid w:val="1B497263"/>
    <w:rsid w:val="1B5C6E7E"/>
    <w:rsid w:val="1B837ECD"/>
    <w:rsid w:val="1B912B55"/>
    <w:rsid w:val="1B946199"/>
    <w:rsid w:val="1B965EF4"/>
    <w:rsid w:val="1BB73873"/>
    <w:rsid w:val="1BCB181E"/>
    <w:rsid w:val="1BDD15F6"/>
    <w:rsid w:val="1BF73705"/>
    <w:rsid w:val="1C030625"/>
    <w:rsid w:val="1C0D73A0"/>
    <w:rsid w:val="1C1222ED"/>
    <w:rsid w:val="1C183DA8"/>
    <w:rsid w:val="1C246856"/>
    <w:rsid w:val="1C33314D"/>
    <w:rsid w:val="1C381AD6"/>
    <w:rsid w:val="1C384D90"/>
    <w:rsid w:val="1C3F5544"/>
    <w:rsid w:val="1C442430"/>
    <w:rsid w:val="1C500586"/>
    <w:rsid w:val="1C655F9F"/>
    <w:rsid w:val="1C6915AD"/>
    <w:rsid w:val="1C730FDE"/>
    <w:rsid w:val="1C7343FE"/>
    <w:rsid w:val="1C7E52BD"/>
    <w:rsid w:val="1C896A53"/>
    <w:rsid w:val="1C897ADA"/>
    <w:rsid w:val="1C8E406A"/>
    <w:rsid w:val="1CB80AB6"/>
    <w:rsid w:val="1CC067D8"/>
    <w:rsid w:val="1CD46790"/>
    <w:rsid w:val="1CF15696"/>
    <w:rsid w:val="1CFB5676"/>
    <w:rsid w:val="1D032088"/>
    <w:rsid w:val="1D0600A4"/>
    <w:rsid w:val="1D0711CB"/>
    <w:rsid w:val="1D360D7B"/>
    <w:rsid w:val="1D564D3A"/>
    <w:rsid w:val="1D5D03E7"/>
    <w:rsid w:val="1D5E1C8E"/>
    <w:rsid w:val="1D6518D9"/>
    <w:rsid w:val="1D673BEF"/>
    <w:rsid w:val="1D703AAF"/>
    <w:rsid w:val="1D765A42"/>
    <w:rsid w:val="1D772D50"/>
    <w:rsid w:val="1D800F9B"/>
    <w:rsid w:val="1D855CD4"/>
    <w:rsid w:val="1D8B3C0A"/>
    <w:rsid w:val="1DA56AFC"/>
    <w:rsid w:val="1DBB5418"/>
    <w:rsid w:val="1DC24954"/>
    <w:rsid w:val="1DCA36DE"/>
    <w:rsid w:val="1DCD7849"/>
    <w:rsid w:val="1DD25225"/>
    <w:rsid w:val="1DD57558"/>
    <w:rsid w:val="1DE22CD0"/>
    <w:rsid w:val="1E01507F"/>
    <w:rsid w:val="1E241B5A"/>
    <w:rsid w:val="1E357AA2"/>
    <w:rsid w:val="1E3A4DE4"/>
    <w:rsid w:val="1E437719"/>
    <w:rsid w:val="1E47549C"/>
    <w:rsid w:val="1E4A780C"/>
    <w:rsid w:val="1E6A76E1"/>
    <w:rsid w:val="1E787982"/>
    <w:rsid w:val="1E7C0711"/>
    <w:rsid w:val="1E7F72E6"/>
    <w:rsid w:val="1E8F7C25"/>
    <w:rsid w:val="1E943FB6"/>
    <w:rsid w:val="1EA25E00"/>
    <w:rsid w:val="1EA6532F"/>
    <w:rsid w:val="1EB04A2B"/>
    <w:rsid w:val="1ED67CC7"/>
    <w:rsid w:val="1ED830A2"/>
    <w:rsid w:val="1EEA7C98"/>
    <w:rsid w:val="1EEB4180"/>
    <w:rsid w:val="1EF46FD2"/>
    <w:rsid w:val="1EF75C41"/>
    <w:rsid w:val="1F0615E1"/>
    <w:rsid w:val="1F06575D"/>
    <w:rsid w:val="1F122F97"/>
    <w:rsid w:val="1F1D7651"/>
    <w:rsid w:val="1F301408"/>
    <w:rsid w:val="1F3A06D8"/>
    <w:rsid w:val="1F3E2D5B"/>
    <w:rsid w:val="1F4A049C"/>
    <w:rsid w:val="1F5441AB"/>
    <w:rsid w:val="1F574116"/>
    <w:rsid w:val="1F6119FF"/>
    <w:rsid w:val="1F8525FC"/>
    <w:rsid w:val="1F9173EC"/>
    <w:rsid w:val="1F923569"/>
    <w:rsid w:val="1F987DB5"/>
    <w:rsid w:val="1F9A2F28"/>
    <w:rsid w:val="1F9D0DE0"/>
    <w:rsid w:val="1FA37E2C"/>
    <w:rsid w:val="1FAF1ED4"/>
    <w:rsid w:val="1FB4130B"/>
    <w:rsid w:val="1FB953A7"/>
    <w:rsid w:val="1FDA0974"/>
    <w:rsid w:val="20172386"/>
    <w:rsid w:val="203D64FD"/>
    <w:rsid w:val="20704069"/>
    <w:rsid w:val="207750B5"/>
    <w:rsid w:val="209877F8"/>
    <w:rsid w:val="20A44722"/>
    <w:rsid w:val="20AC60DE"/>
    <w:rsid w:val="20CF4C51"/>
    <w:rsid w:val="20D16468"/>
    <w:rsid w:val="20D211D2"/>
    <w:rsid w:val="20DD776F"/>
    <w:rsid w:val="20E20C84"/>
    <w:rsid w:val="20E6647C"/>
    <w:rsid w:val="20EE50D7"/>
    <w:rsid w:val="21171D4F"/>
    <w:rsid w:val="211767A4"/>
    <w:rsid w:val="211978D1"/>
    <w:rsid w:val="211B05C5"/>
    <w:rsid w:val="21225470"/>
    <w:rsid w:val="213A7463"/>
    <w:rsid w:val="214F0E62"/>
    <w:rsid w:val="2151463F"/>
    <w:rsid w:val="2165741E"/>
    <w:rsid w:val="216E5476"/>
    <w:rsid w:val="218400B7"/>
    <w:rsid w:val="21A013BD"/>
    <w:rsid w:val="21BB5403"/>
    <w:rsid w:val="21D02B48"/>
    <w:rsid w:val="21DF7E96"/>
    <w:rsid w:val="21EB6709"/>
    <w:rsid w:val="21F24397"/>
    <w:rsid w:val="221506AA"/>
    <w:rsid w:val="221C3CD6"/>
    <w:rsid w:val="22272487"/>
    <w:rsid w:val="222B4E4C"/>
    <w:rsid w:val="2236248A"/>
    <w:rsid w:val="223729A9"/>
    <w:rsid w:val="223A0457"/>
    <w:rsid w:val="223C0251"/>
    <w:rsid w:val="223E1E07"/>
    <w:rsid w:val="226231EC"/>
    <w:rsid w:val="2264526C"/>
    <w:rsid w:val="22667657"/>
    <w:rsid w:val="226D6A80"/>
    <w:rsid w:val="22825756"/>
    <w:rsid w:val="22855DF1"/>
    <w:rsid w:val="228F1DFB"/>
    <w:rsid w:val="22955390"/>
    <w:rsid w:val="22A56378"/>
    <w:rsid w:val="22B965B1"/>
    <w:rsid w:val="22C32593"/>
    <w:rsid w:val="22D67D9C"/>
    <w:rsid w:val="22EE1A40"/>
    <w:rsid w:val="22FC38A3"/>
    <w:rsid w:val="23111125"/>
    <w:rsid w:val="231A1630"/>
    <w:rsid w:val="231F424C"/>
    <w:rsid w:val="232F29C8"/>
    <w:rsid w:val="238823B5"/>
    <w:rsid w:val="238858CA"/>
    <w:rsid w:val="2395521F"/>
    <w:rsid w:val="23A1458B"/>
    <w:rsid w:val="23C55FFA"/>
    <w:rsid w:val="23CC3FFF"/>
    <w:rsid w:val="23CD1987"/>
    <w:rsid w:val="23D606AA"/>
    <w:rsid w:val="23E94DD9"/>
    <w:rsid w:val="241212FF"/>
    <w:rsid w:val="2414490F"/>
    <w:rsid w:val="241E3149"/>
    <w:rsid w:val="24336D33"/>
    <w:rsid w:val="24340591"/>
    <w:rsid w:val="243749B4"/>
    <w:rsid w:val="24391569"/>
    <w:rsid w:val="24461C8D"/>
    <w:rsid w:val="245F0622"/>
    <w:rsid w:val="24612460"/>
    <w:rsid w:val="24615BC0"/>
    <w:rsid w:val="247668F9"/>
    <w:rsid w:val="24847E22"/>
    <w:rsid w:val="249479AD"/>
    <w:rsid w:val="24975505"/>
    <w:rsid w:val="249C299C"/>
    <w:rsid w:val="24A943CB"/>
    <w:rsid w:val="24B160F4"/>
    <w:rsid w:val="24C77419"/>
    <w:rsid w:val="24CB3488"/>
    <w:rsid w:val="24CE1408"/>
    <w:rsid w:val="24D31059"/>
    <w:rsid w:val="24E85BBD"/>
    <w:rsid w:val="25001FF6"/>
    <w:rsid w:val="25026FF3"/>
    <w:rsid w:val="25083647"/>
    <w:rsid w:val="252E0F04"/>
    <w:rsid w:val="25516FC1"/>
    <w:rsid w:val="25605B6F"/>
    <w:rsid w:val="256402CE"/>
    <w:rsid w:val="256B0B4A"/>
    <w:rsid w:val="25776CBB"/>
    <w:rsid w:val="258C1362"/>
    <w:rsid w:val="2590500F"/>
    <w:rsid w:val="25997F29"/>
    <w:rsid w:val="25A805AA"/>
    <w:rsid w:val="25AB59D4"/>
    <w:rsid w:val="25C12743"/>
    <w:rsid w:val="25EA0E7C"/>
    <w:rsid w:val="26205522"/>
    <w:rsid w:val="262F7B33"/>
    <w:rsid w:val="26473F08"/>
    <w:rsid w:val="26487620"/>
    <w:rsid w:val="26535F9B"/>
    <w:rsid w:val="265D18BA"/>
    <w:rsid w:val="26617536"/>
    <w:rsid w:val="26725958"/>
    <w:rsid w:val="267D7DD7"/>
    <w:rsid w:val="267F55A4"/>
    <w:rsid w:val="2682080A"/>
    <w:rsid w:val="269D1CB7"/>
    <w:rsid w:val="26A65CB9"/>
    <w:rsid w:val="26B12492"/>
    <w:rsid w:val="26BE4EE9"/>
    <w:rsid w:val="26BF2A95"/>
    <w:rsid w:val="26C60BB3"/>
    <w:rsid w:val="26C8461C"/>
    <w:rsid w:val="26D04C2F"/>
    <w:rsid w:val="26D757FF"/>
    <w:rsid w:val="26DA0E0D"/>
    <w:rsid w:val="26DD26BF"/>
    <w:rsid w:val="26E94DFC"/>
    <w:rsid w:val="270134FB"/>
    <w:rsid w:val="27114C7F"/>
    <w:rsid w:val="271D3E81"/>
    <w:rsid w:val="272D22B6"/>
    <w:rsid w:val="2730242D"/>
    <w:rsid w:val="273151A7"/>
    <w:rsid w:val="27457A1B"/>
    <w:rsid w:val="27481D65"/>
    <w:rsid w:val="275321C5"/>
    <w:rsid w:val="275A4F1B"/>
    <w:rsid w:val="278747C1"/>
    <w:rsid w:val="27882F63"/>
    <w:rsid w:val="27A838C7"/>
    <w:rsid w:val="27B262AE"/>
    <w:rsid w:val="27BF7D25"/>
    <w:rsid w:val="27C664E8"/>
    <w:rsid w:val="27CA7FFE"/>
    <w:rsid w:val="27E03641"/>
    <w:rsid w:val="27E13DB9"/>
    <w:rsid w:val="27E264C8"/>
    <w:rsid w:val="27F44A9E"/>
    <w:rsid w:val="28012E2E"/>
    <w:rsid w:val="28035DE0"/>
    <w:rsid w:val="280508EF"/>
    <w:rsid w:val="280E42B1"/>
    <w:rsid w:val="28104320"/>
    <w:rsid w:val="281204BB"/>
    <w:rsid w:val="281F3D3D"/>
    <w:rsid w:val="28302D38"/>
    <w:rsid w:val="283624D6"/>
    <w:rsid w:val="28374F70"/>
    <w:rsid w:val="2838560C"/>
    <w:rsid w:val="284A16E0"/>
    <w:rsid w:val="286672C6"/>
    <w:rsid w:val="288A6232"/>
    <w:rsid w:val="28985F16"/>
    <w:rsid w:val="28B9032F"/>
    <w:rsid w:val="28B96C24"/>
    <w:rsid w:val="28E8223F"/>
    <w:rsid w:val="28F40738"/>
    <w:rsid w:val="28F43666"/>
    <w:rsid w:val="28F66845"/>
    <w:rsid w:val="29175B74"/>
    <w:rsid w:val="291C2E0A"/>
    <w:rsid w:val="29226A5D"/>
    <w:rsid w:val="2928284F"/>
    <w:rsid w:val="2934331B"/>
    <w:rsid w:val="293B0174"/>
    <w:rsid w:val="293F01D4"/>
    <w:rsid w:val="29457AB8"/>
    <w:rsid w:val="2954735A"/>
    <w:rsid w:val="295B474A"/>
    <w:rsid w:val="29605C95"/>
    <w:rsid w:val="296864AA"/>
    <w:rsid w:val="29727C9C"/>
    <w:rsid w:val="29800E5D"/>
    <w:rsid w:val="29A07F3D"/>
    <w:rsid w:val="29A22152"/>
    <w:rsid w:val="29AB3175"/>
    <w:rsid w:val="29B844D4"/>
    <w:rsid w:val="29C54C26"/>
    <w:rsid w:val="29CC0F58"/>
    <w:rsid w:val="29D667AD"/>
    <w:rsid w:val="29E508B2"/>
    <w:rsid w:val="29E90FF3"/>
    <w:rsid w:val="29F443B3"/>
    <w:rsid w:val="2A0007D8"/>
    <w:rsid w:val="2A076E05"/>
    <w:rsid w:val="2A3342B8"/>
    <w:rsid w:val="2A351F39"/>
    <w:rsid w:val="2A475858"/>
    <w:rsid w:val="2A502BD6"/>
    <w:rsid w:val="2A5E1E0C"/>
    <w:rsid w:val="2A681F1B"/>
    <w:rsid w:val="2A8277F1"/>
    <w:rsid w:val="2AA04482"/>
    <w:rsid w:val="2AB12914"/>
    <w:rsid w:val="2ABC2251"/>
    <w:rsid w:val="2ABE25CE"/>
    <w:rsid w:val="2AC46C18"/>
    <w:rsid w:val="2ADA7E34"/>
    <w:rsid w:val="2AE52F89"/>
    <w:rsid w:val="2AE8703B"/>
    <w:rsid w:val="2AF5079B"/>
    <w:rsid w:val="2B0B4902"/>
    <w:rsid w:val="2B19097D"/>
    <w:rsid w:val="2B1A45BE"/>
    <w:rsid w:val="2B2655EE"/>
    <w:rsid w:val="2B315A73"/>
    <w:rsid w:val="2B3B01A7"/>
    <w:rsid w:val="2B563E9C"/>
    <w:rsid w:val="2B5A64FA"/>
    <w:rsid w:val="2B8D24D9"/>
    <w:rsid w:val="2B937546"/>
    <w:rsid w:val="2BA41F54"/>
    <w:rsid w:val="2BA6251A"/>
    <w:rsid w:val="2BAF3778"/>
    <w:rsid w:val="2BB807A8"/>
    <w:rsid w:val="2BCA750B"/>
    <w:rsid w:val="2BD41334"/>
    <w:rsid w:val="2BE768FB"/>
    <w:rsid w:val="2BEE4B91"/>
    <w:rsid w:val="2C0E7201"/>
    <w:rsid w:val="2C142635"/>
    <w:rsid w:val="2C1B4162"/>
    <w:rsid w:val="2C1E2BF1"/>
    <w:rsid w:val="2C2417BE"/>
    <w:rsid w:val="2C2E27FE"/>
    <w:rsid w:val="2C3B039F"/>
    <w:rsid w:val="2C3F13A3"/>
    <w:rsid w:val="2C6A6DA5"/>
    <w:rsid w:val="2C810FFA"/>
    <w:rsid w:val="2C9312B7"/>
    <w:rsid w:val="2CA13945"/>
    <w:rsid w:val="2CA7702F"/>
    <w:rsid w:val="2CA84CD4"/>
    <w:rsid w:val="2CC72C26"/>
    <w:rsid w:val="2CD11374"/>
    <w:rsid w:val="2CEB7A82"/>
    <w:rsid w:val="2CF029F4"/>
    <w:rsid w:val="2D044451"/>
    <w:rsid w:val="2D047A53"/>
    <w:rsid w:val="2D0E32A4"/>
    <w:rsid w:val="2D167D1E"/>
    <w:rsid w:val="2D1E541A"/>
    <w:rsid w:val="2D1F7CF7"/>
    <w:rsid w:val="2D206588"/>
    <w:rsid w:val="2D2843A7"/>
    <w:rsid w:val="2D2D4B4B"/>
    <w:rsid w:val="2D3D5AB3"/>
    <w:rsid w:val="2D3F55A8"/>
    <w:rsid w:val="2D46476E"/>
    <w:rsid w:val="2D5D41E2"/>
    <w:rsid w:val="2D5F1632"/>
    <w:rsid w:val="2D665420"/>
    <w:rsid w:val="2D7D1417"/>
    <w:rsid w:val="2D851FD7"/>
    <w:rsid w:val="2D8753A1"/>
    <w:rsid w:val="2D8B1C99"/>
    <w:rsid w:val="2D921C03"/>
    <w:rsid w:val="2D9408D2"/>
    <w:rsid w:val="2D960FD0"/>
    <w:rsid w:val="2D9B2908"/>
    <w:rsid w:val="2DA67428"/>
    <w:rsid w:val="2DC04D5F"/>
    <w:rsid w:val="2DD20549"/>
    <w:rsid w:val="2DDE3707"/>
    <w:rsid w:val="2DF21E0C"/>
    <w:rsid w:val="2E2018D8"/>
    <w:rsid w:val="2E235E1F"/>
    <w:rsid w:val="2E255D5D"/>
    <w:rsid w:val="2E4242FA"/>
    <w:rsid w:val="2E4647A4"/>
    <w:rsid w:val="2E573E4B"/>
    <w:rsid w:val="2E5C2425"/>
    <w:rsid w:val="2E737E64"/>
    <w:rsid w:val="2E7B4F93"/>
    <w:rsid w:val="2E993B36"/>
    <w:rsid w:val="2E9E12D0"/>
    <w:rsid w:val="2EDF3B27"/>
    <w:rsid w:val="2EF5155C"/>
    <w:rsid w:val="2EFF3CA3"/>
    <w:rsid w:val="2F17707E"/>
    <w:rsid w:val="2F1D756F"/>
    <w:rsid w:val="2F220B67"/>
    <w:rsid w:val="2F291024"/>
    <w:rsid w:val="2F3E1AE1"/>
    <w:rsid w:val="2F677A4B"/>
    <w:rsid w:val="2F683038"/>
    <w:rsid w:val="2F762234"/>
    <w:rsid w:val="2FAD2601"/>
    <w:rsid w:val="2FB75A02"/>
    <w:rsid w:val="2FC60AFA"/>
    <w:rsid w:val="2FE17AB0"/>
    <w:rsid w:val="2FEE1F30"/>
    <w:rsid w:val="2FF119BC"/>
    <w:rsid w:val="2FFE4C0B"/>
    <w:rsid w:val="30090893"/>
    <w:rsid w:val="300A57F7"/>
    <w:rsid w:val="301E335D"/>
    <w:rsid w:val="30241885"/>
    <w:rsid w:val="302E0BCE"/>
    <w:rsid w:val="30301EAC"/>
    <w:rsid w:val="303901DD"/>
    <w:rsid w:val="30477DB1"/>
    <w:rsid w:val="305375F5"/>
    <w:rsid w:val="30544353"/>
    <w:rsid w:val="30585196"/>
    <w:rsid w:val="307970A5"/>
    <w:rsid w:val="3091004E"/>
    <w:rsid w:val="309455B8"/>
    <w:rsid w:val="30A50E81"/>
    <w:rsid w:val="30A95C23"/>
    <w:rsid w:val="30E34D20"/>
    <w:rsid w:val="30F84629"/>
    <w:rsid w:val="31073B50"/>
    <w:rsid w:val="310D0335"/>
    <w:rsid w:val="31187D9E"/>
    <w:rsid w:val="312708D3"/>
    <w:rsid w:val="312C39FA"/>
    <w:rsid w:val="31434628"/>
    <w:rsid w:val="3149001D"/>
    <w:rsid w:val="31493A3D"/>
    <w:rsid w:val="314A2E6D"/>
    <w:rsid w:val="314B5999"/>
    <w:rsid w:val="315B5E01"/>
    <w:rsid w:val="316114E4"/>
    <w:rsid w:val="31665431"/>
    <w:rsid w:val="316811E0"/>
    <w:rsid w:val="31691EC2"/>
    <w:rsid w:val="317D4134"/>
    <w:rsid w:val="318514D6"/>
    <w:rsid w:val="31872961"/>
    <w:rsid w:val="319546A5"/>
    <w:rsid w:val="31981ADA"/>
    <w:rsid w:val="31A018EB"/>
    <w:rsid w:val="31BF7254"/>
    <w:rsid w:val="31C951A3"/>
    <w:rsid w:val="31CB244D"/>
    <w:rsid w:val="31CE5FBC"/>
    <w:rsid w:val="31DB7217"/>
    <w:rsid w:val="31DD1C2D"/>
    <w:rsid w:val="31FD53F6"/>
    <w:rsid w:val="31FD6FEB"/>
    <w:rsid w:val="320A32A7"/>
    <w:rsid w:val="3223359D"/>
    <w:rsid w:val="32240BA6"/>
    <w:rsid w:val="32380F3F"/>
    <w:rsid w:val="32390EBF"/>
    <w:rsid w:val="32472E07"/>
    <w:rsid w:val="324B7DB0"/>
    <w:rsid w:val="3252721E"/>
    <w:rsid w:val="32555BD7"/>
    <w:rsid w:val="325C0518"/>
    <w:rsid w:val="325F0314"/>
    <w:rsid w:val="32601BAD"/>
    <w:rsid w:val="32623015"/>
    <w:rsid w:val="3266010D"/>
    <w:rsid w:val="326C0D45"/>
    <w:rsid w:val="326D37F9"/>
    <w:rsid w:val="328B6C27"/>
    <w:rsid w:val="32A86960"/>
    <w:rsid w:val="32C10E91"/>
    <w:rsid w:val="32C33ECC"/>
    <w:rsid w:val="32CB5414"/>
    <w:rsid w:val="32CE3226"/>
    <w:rsid w:val="32D822EF"/>
    <w:rsid w:val="32F056AC"/>
    <w:rsid w:val="33142AEA"/>
    <w:rsid w:val="33175747"/>
    <w:rsid w:val="331C0490"/>
    <w:rsid w:val="33282128"/>
    <w:rsid w:val="33355010"/>
    <w:rsid w:val="336941DA"/>
    <w:rsid w:val="336A0E25"/>
    <w:rsid w:val="337A109D"/>
    <w:rsid w:val="337C3F80"/>
    <w:rsid w:val="337F11B8"/>
    <w:rsid w:val="33810337"/>
    <w:rsid w:val="33B24E95"/>
    <w:rsid w:val="33BA381D"/>
    <w:rsid w:val="33BC35C3"/>
    <w:rsid w:val="33C57D24"/>
    <w:rsid w:val="33CF0A38"/>
    <w:rsid w:val="33D21166"/>
    <w:rsid w:val="33D24320"/>
    <w:rsid w:val="33E02FA5"/>
    <w:rsid w:val="33FF3286"/>
    <w:rsid w:val="34120320"/>
    <w:rsid w:val="341C10C7"/>
    <w:rsid w:val="3425201D"/>
    <w:rsid w:val="344351DB"/>
    <w:rsid w:val="34435C35"/>
    <w:rsid w:val="34447628"/>
    <w:rsid w:val="34474DD2"/>
    <w:rsid w:val="344A0A7B"/>
    <w:rsid w:val="34707368"/>
    <w:rsid w:val="34767A79"/>
    <w:rsid w:val="34767B7C"/>
    <w:rsid w:val="34776405"/>
    <w:rsid w:val="34CB6746"/>
    <w:rsid w:val="34EC264A"/>
    <w:rsid w:val="34F13676"/>
    <w:rsid w:val="35021077"/>
    <w:rsid w:val="350244A5"/>
    <w:rsid w:val="35106277"/>
    <w:rsid w:val="35207686"/>
    <w:rsid w:val="35302732"/>
    <w:rsid w:val="3534604C"/>
    <w:rsid w:val="353A077E"/>
    <w:rsid w:val="353E1D29"/>
    <w:rsid w:val="35471DC6"/>
    <w:rsid w:val="356C5352"/>
    <w:rsid w:val="357B3D32"/>
    <w:rsid w:val="35826580"/>
    <w:rsid w:val="359A395F"/>
    <w:rsid w:val="35BA25B5"/>
    <w:rsid w:val="35C61C33"/>
    <w:rsid w:val="35C7468C"/>
    <w:rsid w:val="35D05C71"/>
    <w:rsid w:val="360B288F"/>
    <w:rsid w:val="362E3035"/>
    <w:rsid w:val="36714CA4"/>
    <w:rsid w:val="367500E1"/>
    <w:rsid w:val="367A752D"/>
    <w:rsid w:val="368D353E"/>
    <w:rsid w:val="36933DFF"/>
    <w:rsid w:val="36AF5DB2"/>
    <w:rsid w:val="36CE75F3"/>
    <w:rsid w:val="36D6068F"/>
    <w:rsid w:val="36D96591"/>
    <w:rsid w:val="36DC611A"/>
    <w:rsid w:val="36EB66DC"/>
    <w:rsid w:val="36ED312A"/>
    <w:rsid w:val="36F1630C"/>
    <w:rsid w:val="36FE7F4D"/>
    <w:rsid w:val="373B5BBD"/>
    <w:rsid w:val="376021A7"/>
    <w:rsid w:val="376125FF"/>
    <w:rsid w:val="376E6B1A"/>
    <w:rsid w:val="378E1BC7"/>
    <w:rsid w:val="37A10B9F"/>
    <w:rsid w:val="37AA2820"/>
    <w:rsid w:val="37AA605F"/>
    <w:rsid w:val="37B14F9E"/>
    <w:rsid w:val="37B4330B"/>
    <w:rsid w:val="37C836BA"/>
    <w:rsid w:val="37D13A14"/>
    <w:rsid w:val="37D84F4D"/>
    <w:rsid w:val="37E44838"/>
    <w:rsid w:val="37ED0893"/>
    <w:rsid w:val="380444B5"/>
    <w:rsid w:val="38076ACE"/>
    <w:rsid w:val="380C7FE4"/>
    <w:rsid w:val="381876BF"/>
    <w:rsid w:val="38247362"/>
    <w:rsid w:val="383044C7"/>
    <w:rsid w:val="38391B8B"/>
    <w:rsid w:val="386B4E07"/>
    <w:rsid w:val="387634FA"/>
    <w:rsid w:val="387A493A"/>
    <w:rsid w:val="3893622F"/>
    <w:rsid w:val="38976B46"/>
    <w:rsid w:val="389B3E89"/>
    <w:rsid w:val="389F289D"/>
    <w:rsid w:val="38A65E3F"/>
    <w:rsid w:val="38AF1198"/>
    <w:rsid w:val="38AF2DD3"/>
    <w:rsid w:val="38B60DEA"/>
    <w:rsid w:val="38C11E25"/>
    <w:rsid w:val="38C264E9"/>
    <w:rsid w:val="38D237F9"/>
    <w:rsid w:val="38D676F8"/>
    <w:rsid w:val="38DB51FE"/>
    <w:rsid w:val="38EC2299"/>
    <w:rsid w:val="38F44DFD"/>
    <w:rsid w:val="38F800F1"/>
    <w:rsid w:val="38FE10AF"/>
    <w:rsid w:val="38FE7423"/>
    <w:rsid w:val="3915546F"/>
    <w:rsid w:val="39183466"/>
    <w:rsid w:val="39330A12"/>
    <w:rsid w:val="394418E0"/>
    <w:rsid w:val="396468FD"/>
    <w:rsid w:val="396640C8"/>
    <w:rsid w:val="396C1550"/>
    <w:rsid w:val="39851073"/>
    <w:rsid w:val="39865190"/>
    <w:rsid w:val="399B4D5F"/>
    <w:rsid w:val="39A96CDD"/>
    <w:rsid w:val="39C421D5"/>
    <w:rsid w:val="39C5309D"/>
    <w:rsid w:val="39CB2002"/>
    <w:rsid w:val="39E85100"/>
    <w:rsid w:val="39F36876"/>
    <w:rsid w:val="39F85529"/>
    <w:rsid w:val="3A016307"/>
    <w:rsid w:val="3A2D7F07"/>
    <w:rsid w:val="3A2E79FC"/>
    <w:rsid w:val="3A414072"/>
    <w:rsid w:val="3A433C0A"/>
    <w:rsid w:val="3A55575E"/>
    <w:rsid w:val="3A5A3590"/>
    <w:rsid w:val="3A5A3A0B"/>
    <w:rsid w:val="3A621471"/>
    <w:rsid w:val="3A6458EC"/>
    <w:rsid w:val="3A7C6F0C"/>
    <w:rsid w:val="3A7E1DD0"/>
    <w:rsid w:val="3A83059F"/>
    <w:rsid w:val="3A8B6E93"/>
    <w:rsid w:val="3A902C8D"/>
    <w:rsid w:val="3A9C3197"/>
    <w:rsid w:val="3AC92783"/>
    <w:rsid w:val="3AD153F6"/>
    <w:rsid w:val="3AD3652C"/>
    <w:rsid w:val="3AE50EA1"/>
    <w:rsid w:val="3AEB193A"/>
    <w:rsid w:val="3B093036"/>
    <w:rsid w:val="3B0A1ABE"/>
    <w:rsid w:val="3B0A709C"/>
    <w:rsid w:val="3B181276"/>
    <w:rsid w:val="3B185B2B"/>
    <w:rsid w:val="3B21131F"/>
    <w:rsid w:val="3B240E65"/>
    <w:rsid w:val="3B27642E"/>
    <w:rsid w:val="3B344E45"/>
    <w:rsid w:val="3B365F1C"/>
    <w:rsid w:val="3B4B35F4"/>
    <w:rsid w:val="3B5870EF"/>
    <w:rsid w:val="3B7360C2"/>
    <w:rsid w:val="3B79471A"/>
    <w:rsid w:val="3B7B270A"/>
    <w:rsid w:val="3B862511"/>
    <w:rsid w:val="3B9D0C32"/>
    <w:rsid w:val="3BA834AB"/>
    <w:rsid w:val="3BB90C38"/>
    <w:rsid w:val="3BBB5723"/>
    <w:rsid w:val="3BC31E98"/>
    <w:rsid w:val="3BE437ED"/>
    <w:rsid w:val="3BF32059"/>
    <w:rsid w:val="3C016641"/>
    <w:rsid w:val="3C065573"/>
    <w:rsid w:val="3C504528"/>
    <w:rsid w:val="3C6A729E"/>
    <w:rsid w:val="3C7860FF"/>
    <w:rsid w:val="3C807C39"/>
    <w:rsid w:val="3C8159B2"/>
    <w:rsid w:val="3C8C4F8A"/>
    <w:rsid w:val="3C8F62AA"/>
    <w:rsid w:val="3C940A43"/>
    <w:rsid w:val="3CA33216"/>
    <w:rsid w:val="3CA62AF9"/>
    <w:rsid w:val="3CA90C14"/>
    <w:rsid w:val="3CB16CD6"/>
    <w:rsid w:val="3CB560DF"/>
    <w:rsid w:val="3CBA686D"/>
    <w:rsid w:val="3CC232DB"/>
    <w:rsid w:val="3CD24D9A"/>
    <w:rsid w:val="3CD26A52"/>
    <w:rsid w:val="3CE53EA8"/>
    <w:rsid w:val="3CEC44C2"/>
    <w:rsid w:val="3CF1055F"/>
    <w:rsid w:val="3CFE532D"/>
    <w:rsid w:val="3D066EAE"/>
    <w:rsid w:val="3D11314A"/>
    <w:rsid w:val="3D256C2E"/>
    <w:rsid w:val="3D256F83"/>
    <w:rsid w:val="3D271ED1"/>
    <w:rsid w:val="3D2868DB"/>
    <w:rsid w:val="3D3103CE"/>
    <w:rsid w:val="3D32538D"/>
    <w:rsid w:val="3D466D18"/>
    <w:rsid w:val="3D535663"/>
    <w:rsid w:val="3D5E1DB0"/>
    <w:rsid w:val="3D6D7AA7"/>
    <w:rsid w:val="3D796B78"/>
    <w:rsid w:val="3D7A0588"/>
    <w:rsid w:val="3D7D167B"/>
    <w:rsid w:val="3D900DFE"/>
    <w:rsid w:val="3D950E10"/>
    <w:rsid w:val="3D9B3C49"/>
    <w:rsid w:val="3DA22CDD"/>
    <w:rsid w:val="3DA6026C"/>
    <w:rsid w:val="3DB87A6C"/>
    <w:rsid w:val="3DC57786"/>
    <w:rsid w:val="3DD83727"/>
    <w:rsid w:val="3DE90426"/>
    <w:rsid w:val="3DF5549E"/>
    <w:rsid w:val="3E0F2F80"/>
    <w:rsid w:val="3E12165E"/>
    <w:rsid w:val="3E292452"/>
    <w:rsid w:val="3E6A028E"/>
    <w:rsid w:val="3E6E7ECF"/>
    <w:rsid w:val="3E7266FA"/>
    <w:rsid w:val="3E733FED"/>
    <w:rsid w:val="3E7653CF"/>
    <w:rsid w:val="3EB14784"/>
    <w:rsid w:val="3ECD502F"/>
    <w:rsid w:val="3ED14EB8"/>
    <w:rsid w:val="3EED50E6"/>
    <w:rsid w:val="3EF26773"/>
    <w:rsid w:val="3EF817FC"/>
    <w:rsid w:val="3EF960C0"/>
    <w:rsid w:val="3F016D8D"/>
    <w:rsid w:val="3F0E6A82"/>
    <w:rsid w:val="3F2C0137"/>
    <w:rsid w:val="3F3846EB"/>
    <w:rsid w:val="3F43088C"/>
    <w:rsid w:val="3F5C2619"/>
    <w:rsid w:val="3F736FB6"/>
    <w:rsid w:val="3F802CCF"/>
    <w:rsid w:val="3F854D07"/>
    <w:rsid w:val="3F9D592B"/>
    <w:rsid w:val="3FA86DE1"/>
    <w:rsid w:val="3FBA553E"/>
    <w:rsid w:val="3FBD39DA"/>
    <w:rsid w:val="3FC94014"/>
    <w:rsid w:val="3FCF05DD"/>
    <w:rsid w:val="3FDE32D9"/>
    <w:rsid w:val="3FE6525E"/>
    <w:rsid w:val="3FED1427"/>
    <w:rsid w:val="400332AC"/>
    <w:rsid w:val="402F5483"/>
    <w:rsid w:val="403D5E75"/>
    <w:rsid w:val="405D51FA"/>
    <w:rsid w:val="406636D5"/>
    <w:rsid w:val="407A7CB4"/>
    <w:rsid w:val="407E1CFA"/>
    <w:rsid w:val="407E260D"/>
    <w:rsid w:val="40A06529"/>
    <w:rsid w:val="40A274E0"/>
    <w:rsid w:val="40A77C9B"/>
    <w:rsid w:val="40A917C9"/>
    <w:rsid w:val="40BF2194"/>
    <w:rsid w:val="40C137B7"/>
    <w:rsid w:val="40D11F55"/>
    <w:rsid w:val="40D55512"/>
    <w:rsid w:val="40FA6E05"/>
    <w:rsid w:val="41006A35"/>
    <w:rsid w:val="411302C1"/>
    <w:rsid w:val="41140E7E"/>
    <w:rsid w:val="41272C98"/>
    <w:rsid w:val="412A0C59"/>
    <w:rsid w:val="412B5884"/>
    <w:rsid w:val="41335DF5"/>
    <w:rsid w:val="414356F2"/>
    <w:rsid w:val="41483EFB"/>
    <w:rsid w:val="414C4433"/>
    <w:rsid w:val="414E1B4E"/>
    <w:rsid w:val="414F6362"/>
    <w:rsid w:val="415B0332"/>
    <w:rsid w:val="41636379"/>
    <w:rsid w:val="416D288C"/>
    <w:rsid w:val="41740394"/>
    <w:rsid w:val="41761B7A"/>
    <w:rsid w:val="4188129D"/>
    <w:rsid w:val="41943E50"/>
    <w:rsid w:val="419D2986"/>
    <w:rsid w:val="41AB7F2D"/>
    <w:rsid w:val="41B3009C"/>
    <w:rsid w:val="41BF51CC"/>
    <w:rsid w:val="41CF7A02"/>
    <w:rsid w:val="41D11731"/>
    <w:rsid w:val="41E0488A"/>
    <w:rsid w:val="41E234F5"/>
    <w:rsid w:val="4201133F"/>
    <w:rsid w:val="420B4AD4"/>
    <w:rsid w:val="420D2BAA"/>
    <w:rsid w:val="42120A52"/>
    <w:rsid w:val="42384097"/>
    <w:rsid w:val="424A4BE7"/>
    <w:rsid w:val="4261046E"/>
    <w:rsid w:val="4262773B"/>
    <w:rsid w:val="42661078"/>
    <w:rsid w:val="426745CB"/>
    <w:rsid w:val="42716407"/>
    <w:rsid w:val="427E55D4"/>
    <w:rsid w:val="42853C91"/>
    <w:rsid w:val="42877351"/>
    <w:rsid w:val="42886868"/>
    <w:rsid w:val="428A2426"/>
    <w:rsid w:val="429558AE"/>
    <w:rsid w:val="429B2BCF"/>
    <w:rsid w:val="42CA47DD"/>
    <w:rsid w:val="42D02437"/>
    <w:rsid w:val="42DA3DEB"/>
    <w:rsid w:val="42DE2DA6"/>
    <w:rsid w:val="42F02D32"/>
    <w:rsid w:val="42F3399F"/>
    <w:rsid w:val="42F840C0"/>
    <w:rsid w:val="42FF41CE"/>
    <w:rsid w:val="43014064"/>
    <w:rsid w:val="430808AC"/>
    <w:rsid w:val="43320A99"/>
    <w:rsid w:val="433710B1"/>
    <w:rsid w:val="433763E3"/>
    <w:rsid w:val="434E27A0"/>
    <w:rsid w:val="4355132E"/>
    <w:rsid w:val="4358049A"/>
    <w:rsid w:val="43592C48"/>
    <w:rsid w:val="43637162"/>
    <w:rsid w:val="4376527E"/>
    <w:rsid w:val="43793912"/>
    <w:rsid w:val="43875E19"/>
    <w:rsid w:val="438F0796"/>
    <w:rsid w:val="439B2A45"/>
    <w:rsid w:val="43A314C6"/>
    <w:rsid w:val="43C17A0B"/>
    <w:rsid w:val="43C77304"/>
    <w:rsid w:val="43C83170"/>
    <w:rsid w:val="43E00085"/>
    <w:rsid w:val="43E62EA4"/>
    <w:rsid w:val="43E66B44"/>
    <w:rsid w:val="43E8331F"/>
    <w:rsid w:val="43EA53F3"/>
    <w:rsid w:val="43FE6C18"/>
    <w:rsid w:val="440215AE"/>
    <w:rsid w:val="4416282B"/>
    <w:rsid w:val="44346FED"/>
    <w:rsid w:val="443609BF"/>
    <w:rsid w:val="443879A0"/>
    <w:rsid w:val="44585977"/>
    <w:rsid w:val="44615A3C"/>
    <w:rsid w:val="44632F2C"/>
    <w:rsid w:val="44711535"/>
    <w:rsid w:val="448E4588"/>
    <w:rsid w:val="44A443AB"/>
    <w:rsid w:val="44C304C7"/>
    <w:rsid w:val="44CD6E87"/>
    <w:rsid w:val="44D04970"/>
    <w:rsid w:val="44D32748"/>
    <w:rsid w:val="44E561B2"/>
    <w:rsid w:val="44F3106F"/>
    <w:rsid w:val="45031D7A"/>
    <w:rsid w:val="451D16BB"/>
    <w:rsid w:val="45202813"/>
    <w:rsid w:val="45280D36"/>
    <w:rsid w:val="45287088"/>
    <w:rsid w:val="452D1FF5"/>
    <w:rsid w:val="45313C39"/>
    <w:rsid w:val="45332AC1"/>
    <w:rsid w:val="45347639"/>
    <w:rsid w:val="45370708"/>
    <w:rsid w:val="453E784B"/>
    <w:rsid w:val="454224D2"/>
    <w:rsid w:val="454B1AEB"/>
    <w:rsid w:val="457667C4"/>
    <w:rsid w:val="45790B30"/>
    <w:rsid w:val="45880BE5"/>
    <w:rsid w:val="459142F7"/>
    <w:rsid w:val="45A276CE"/>
    <w:rsid w:val="45B22D96"/>
    <w:rsid w:val="45B7006F"/>
    <w:rsid w:val="45BD7F9A"/>
    <w:rsid w:val="45C2075D"/>
    <w:rsid w:val="45C45B67"/>
    <w:rsid w:val="45C63D8A"/>
    <w:rsid w:val="45CE3779"/>
    <w:rsid w:val="45DB13C2"/>
    <w:rsid w:val="45DC78DF"/>
    <w:rsid w:val="45DE3589"/>
    <w:rsid w:val="45DF3E39"/>
    <w:rsid w:val="45ED2BAC"/>
    <w:rsid w:val="45FC004E"/>
    <w:rsid w:val="460D6E21"/>
    <w:rsid w:val="4610647C"/>
    <w:rsid w:val="461A5A12"/>
    <w:rsid w:val="461B11C0"/>
    <w:rsid w:val="46242BF5"/>
    <w:rsid w:val="462476BF"/>
    <w:rsid w:val="46591EEE"/>
    <w:rsid w:val="465B783C"/>
    <w:rsid w:val="465D4F7C"/>
    <w:rsid w:val="46657EC6"/>
    <w:rsid w:val="467501F2"/>
    <w:rsid w:val="467D66BB"/>
    <w:rsid w:val="468A1049"/>
    <w:rsid w:val="46900B8D"/>
    <w:rsid w:val="46951FD0"/>
    <w:rsid w:val="46BA16D0"/>
    <w:rsid w:val="46C40870"/>
    <w:rsid w:val="46CA6D29"/>
    <w:rsid w:val="46E25FDF"/>
    <w:rsid w:val="46F1303A"/>
    <w:rsid w:val="46F217D1"/>
    <w:rsid w:val="46F732FA"/>
    <w:rsid w:val="47100148"/>
    <w:rsid w:val="47137138"/>
    <w:rsid w:val="472537B9"/>
    <w:rsid w:val="47260458"/>
    <w:rsid w:val="472C7007"/>
    <w:rsid w:val="472E22A5"/>
    <w:rsid w:val="47304C1C"/>
    <w:rsid w:val="475E4E61"/>
    <w:rsid w:val="476857BC"/>
    <w:rsid w:val="476A6BCD"/>
    <w:rsid w:val="478C36B5"/>
    <w:rsid w:val="47C469EB"/>
    <w:rsid w:val="47C50033"/>
    <w:rsid w:val="47C765C3"/>
    <w:rsid w:val="47E75EC1"/>
    <w:rsid w:val="480260DA"/>
    <w:rsid w:val="480C189A"/>
    <w:rsid w:val="480C5CBF"/>
    <w:rsid w:val="48184F8C"/>
    <w:rsid w:val="48223663"/>
    <w:rsid w:val="482274C9"/>
    <w:rsid w:val="482F37C1"/>
    <w:rsid w:val="483173BA"/>
    <w:rsid w:val="48416F55"/>
    <w:rsid w:val="48452A2B"/>
    <w:rsid w:val="48482AD9"/>
    <w:rsid w:val="48557626"/>
    <w:rsid w:val="48726D4B"/>
    <w:rsid w:val="4878360B"/>
    <w:rsid w:val="488426EF"/>
    <w:rsid w:val="489A13AF"/>
    <w:rsid w:val="48A325CD"/>
    <w:rsid w:val="48A73260"/>
    <w:rsid w:val="48AA5620"/>
    <w:rsid w:val="48B52EA1"/>
    <w:rsid w:val="48B83194"/>
    <w:rsid w:val="48CD21FB"/>
    <w:rsid w:val="48DA651B"/>
    <w:rsid w:val="48E00313"/>
    <w:rsid w:val="48F60563"/>
    <w:rsid w:val="490E1BED"/>
    <w:rsid w:val="4916078A"/>
    <w:rsid w:val="491C24F2"/>
    <w:rsid w:val="49213B13"/>
    <w:rsid w:val="49442584"/>
    <w:rsid w:val="494E282F"/>
    <w:rsid w:val="494F4597"/>
    <w:rsid w:val="49500624"/>
    <w:rsid w:val="49613CE9"/>
    <w:rsid w:val="49951B92"/>
    <w:rsid w:val="49A6697C"/>
    <w:rsid w:val="49A86B57"/>
    <w:rsid w:val="49CD4983"/>
    <w:rsid w:val="49F21424"/>
    <w:rsid w:val="49F430A8"/>
    <w:rsid w:val="49FC5621"/>
    <w:rsid w:val="4A0303C4"/>
    <w:rsid w:val="4A085B6F"/>
    <w:rsid w:val="4A2C1208"/>
    <w:rsid w:val="4A3D60D0"/>
    <w:rsid w:val="4A456097"/>
    <w:rsid w:val="4A541B9F"/>
    <w:rsid w:val="4A66545F"/>
    <w:rsid w:val="4A6967BB"/>
    <w:rsid w:val="4A6A40E5"/>
    <w:rsid w:val="4A7E7CE0"/>
    <w:rsid w:val="4A802D6A"/>
    <w:rsid w:val="4A893CC9"/>
    <w:rsid w:val="4A98762F"/>
    <w:rsid w:val="4AB60DEE"/>
    <w:rsid w:val="4ABA3BFC"/>
    <w:rsid w:val="4AD43A8A"/>
    <w:rsid w:val="4ADF77E8"/>
    <w:rsid w:val="4AF2498F"/>
    <w:rsid w:val="4AFF10A2"/>
    <w:rsid w:val="4AFF2BD9"/>
    <w:rsid w:val="4B02394D"/>
    <w:rsid w:val="4B031333"/>
    <w:rsid w:val="4B047121"/>
    <w:rsid w:val="4B074CC7"/>
    <w:rsid w:val="4B0B791C"/>
    <w:rsid w:val="4B1044A2"/>
    <w:rsid w:val="4B141A06"/>
    <w:rsid w:val="4B170240"/>
    <w:rsid w:val="4B204A04"/>
    <w:rsid w:val="4B370465"/>
    <w:rsid w:val="4B391A58"/>
    <w:rsid w:val="4B5148E0"/>
    <w:rsid w:val="4B514AD2"/>
    <w:rsid w:val="4B5F0C01"/>
    <w:rsid w:val="4B664DC9"/>
    <w:rsid w:val="4B6D4E04"/>
    <w:rsid w:val="4B844D7D"/>
    <w:rsid w:val="4B8B1E49"/>
    <w:rsid w:val="4B8C3BA4"/>
    <w:rsid w:val="4B9E0D89"/>
    <w:rsid w:val="4BB072A9"/>
    <w:rsid w:val="4BB46279"/>
    <w:rsid w:val="4BCD68C9"/>
    <w:rsid w:val="4BD44ADD"/>
    <w:rsid w:val="4BD64FE6"/>
    <w:rsid w:val="4BE44562"/>
    <w:rsid w:val="4C012F66"/>
    <w:rsid w:val="4C084BB8"/>
    <w:rsid w:val="4C107E0C"/>
    <w:rsid w:val="4C1E3E03"/>
    <w:rsid w:val="4C4145E6"/>
    <w:rsid w:val="4C4C11A6"/>
    <w:rsid w:val="4C595BCB"/>
    <w:rsid w:val="4C6E5BB4"/>
    <w:rsid w:val="4C753BD3"/>
    <w:rsid w:val="4C765DFD"/>
    <w:rsid w:val="4C91143F"/>
    <w:rsid w:val="4C96149F"/>
    <w:rsid w:val="4CA277F1"/>
    <w:rsid w:val="4CA65923"/>
    <w:rsid w:val="4CA83D3E"/>
    <w:rsid w:val="4CB10061"/>
    <w:rsid w:val="4CEE3FCA"/>
    <w:rsid w:val="4D0077F5"/>
    <w:rsid w:val="4D007DBC"/>
    <w:rsid w:val="4D05547A"/>
    <w:rsid w:val="4D060BCA"/>
    <w:rsid w:val="4D136026"/>
    <w:rsid w:val="4D1554DA"/>
    <w:rsid w:val="4D1A2DEE"/>
    <w:rsid w:val="4D2A6BE7"/>
    <w:rsid w:val="4D2D7C29"/>
    <w:rsid w:val="4D350D9A"/>
    <w:rsid w:val="4D352E03"/>
    <w:rsid w:val="4D361C3C"/>
    <w:rsid w:val="4D4947C2"/>
    <w:rsid w:val="4D64073F"/>
    <w:rsid w:val="4D6B16DA"/>
    <w:rsid w:val="4D6E51B5"/>
    <w:rsid w:val="4D796F10"/>
    <w:rsid w:val="4D7B1387"/>
    <w:rsid w:val="4D9168D0"/>
    <w:rsid w:val="4D9A51C0"/>
    <w:rsid w:val="4DAB5F7A"/>
    <w:rsid w:val="4DC242E8"/>
    <w:rsid w:val="4DC25A8E"/>
    <w:rsid w:val="4DD01F97"/>
    <w:rsid w:val="4DE06560"/>
    <w:rsid w:val="4E0D4ABB"/>
    <w:rsid w:val="4E1B567F"/>
    <w:rsid w:val="4E210D3C"/>
    <w:rsid w:val="4E481A1B"/>
    <w:rsid w:val="4E4F2868"/>
    <w:rsid w:val="4E625C5C"/>
    <w:rsid w:val="4E66138D"/>
    <w:rsid w:val="4E732996"/>
    <w:rsid w:val="4E83314E"/>
    <w:rsid w:val="4E84443A"/>
    <w:rsid w:val="4E8A7DF8"/>
    <w:rsid w:val="4EA46F89"/>
    <w:rsid w:val="4EF55B48"/>
    <w:rsid w:val="4EF636D4"/>
    <w:rsid w:val="4F0332D0"/>
    <w:rsid w:val="4F052BBD"/>
    <w:rsid w:val="4F0B5EF5"/>
    <w:rsid w:val="4F0D51CD"/>
    <w:rsid w:val="4F2A271E"/>
    <w:rsid w:val="4F3721FE"/>
    <w:rsid w:val="4F455821"/>
    <w:rsid w:val="4F4A64EB"/>
    <w:rsid w:val="4F5B1520"/>
    <w:rsid w:val="4F722614"/>
    <w:rsid w:val="4FA45E56"/>
    <w:rsid w:val="4FB00F45"/>
    <w:rsid w:val="4FBB131C"/>
    <w:rsid w:val="4FBF1B63"/>
    <w:rsid w:val="4FC02217"/>
    <w:rsid w:val="4FCA58E1"/>
    <w:rsid w:val="4FCD30FF"/>
    <w:rsid w:val="4FE224C2"/>
    <w:rsid w:val="500424C2"/>
    <w:rsid w:val="5012394F"/>
    <w:rsid w:val="5019211E"/>
    <w:rsid w:val="501A73E7"/>
    <w:rsid w:val="502922E3"/>
    <w:rsid w:val="5036515F"/>
    <w:rsid w:val="50515AE9"/>
    <w:rsid w:val="50703D72"/>
    <w:rsid w:val="5076064A"/>
    <w:rsid w:val="50785E8E"/>
    <w:rsid w:val="508114A0"/>
    <w:rsid w:val="508238F5"/>
    <w:rsid w:val="50830612"/>
    <w:rsid w:val="50877BE8"/>
    <w:rsid w:val="50887A71"/>
    <w:rsid w:val="508E4FF6"/>
    <w:rsid w:val="5092668B"/>
    <w:rsid w:val="509269D1"/>
    <w:rsid w:val="509C7F52"/>
    <w:rsid w:val="50A27FBB"/>
    <w:rsid w:val="50A419FB"/>
    <w:rsid w:val="50B87ED7"/>
    <w:rsid w:val="50C25F24"/>
    <w:rsid w:val="50D3310F"/>
    <w:rsid w:val="50D777FA"/>
    <w:rsid w:val="50E00834"/>
    <w:rsid w:val="50E41F74"/>
    <w:rsid w:val="50F9325C"/>
    <w:rsid w:val="50FD2A83"/>
    <w:rsid w:val="510A745C"/>
    <w:rsid w:val="51232EDB"/>
    <w:rsid w:val="5127515A"/>
    <w:rsid w:val="512D2100"/>
    <w:rsid w:val="51314955"/>
    <w:rsid w:val="513E16F8"/>
    <w:rsid w:val="513E3272"/>
    <w:rsid w:val="51437CB7"/>
    <w:rsid w:val="51446F30"/>
    <w:rsid w:val="5154498E"/>
    <w:rsid w:val="515B3813"/>
    <w:rsid w:val="51624A77"/>
    <w:rsid w:val="51645F45"/>
    <w:rsid w:val="516F46D7"/>
    <w:rsid w:val="519866FF"/>
    <w:rsid w:val="51A02E88"/>
    <w:rsid w:val="51A864C8"/>
    <w:rsid w:val="51AA24FD"/>
    <w:rsid w:val="51AD2D4C"/>
    <w:rsid w:val="51B0235C"/>
    <w:rsid w:val="51B03372"/>
    <w:rsid w:val="51B2025E"/>
    <w:rsid w:val="51B23D6F"/>
    <w:rsid w:val="51ED400E"/>
    <w:rsid w:val="51F53D04"/>
    <w:rsid w:val="51F561E8"/>
    <w:rsid w:val="51F842A0"/>
    <w:rsid w:val="51F9615C"/>
    <w:rsid w:val="51FD1AE1"/>
    <w:rsid w:val="51FE0581"/>
    <w:rsid w:val="5209392F"/>
    <w:rsid w:val="520D14E4"/>
    <w:rsid w:val="52134E74"/>
    <w:rsid w:val="52170BAD"/>
    <w:rsid w:val="521C6D69"/>
    <w:rsid w:val="52275877"/>
    <w:rsid w:val="522A35D1"/>
    <w:rsid w:val="52357394"/>
    <w:rsid w:val="523D61B2"/>
    <w:rsid w:val="52497328"/>
    <w:rsid w:val="524F03F9"/>
    <w:rsid w:val="524F72EB"/>
    <w:rsid w:val="52540E55"/>
    <w:rsid w:val="52563BC5"/>
    <w:rsid w:val="525A7F6F"/>
    <w:rsid w:val="52622F2B"/>
    <w:rsid w:val="526432DF"/>
    <w:rsid w:val="526E2115"/>
    <w:rsid w:val="52761FB3"/>
    <w:rsid w:val="52975528"/>
    <w:rsid w:val="52A3720F"/>
    <w:rsid w:val="52AD36E6"/>
    <w:rsid w:val="52B36974"/>
    <w:rsid w:val="52B4142D"/>
    <w:rsid w:val="52B94911"/>
    <w:rsid w:val="52BE7611"/>
    <w:rsid w:val="52C85000"/>
    <w:rsid w:val="52C9219A"/>
    <w:rsid w:val="52D442CC"/>
    <w:rsid w:val="52DA1E0E"/>
    <w:rsid w:val="52DC5521"/>
    <w:rsid w:val="52E82957"/>
    <w:rsid w:val="52ED646F"/>
    <w:rsid w:val="52F53CE4"/>
    <w:rsid w:val="52FE5372"/>
    <w:rsid w:val="530B303F"/>
    <w:rsid w:val="531A27F0"/>
    <w:rsid w:val="531B14AC"/>
    <w:rsid w:val="5329298C"/>
    <w:rsid w:val="53642E53"/>
    <w:rsid w:val="53814C71"/>
    <w:rsid w:val="538B0EBF"/>
    <w:rsid w:val="53912E2F"/>
    <w:rsid w:val="53AA66F6"/>
    <w:rsid w:val="53B51901"/>
    <w:rsid w:val="53B65481"/>
    <w:rsid w:val="53BA42FA"/>
    <w:rsid w:val="53C102A5"/>
    <w:rsid w:val="53C41B44"/>
    <w:rsid w:val="53C6106A"/>
    <w:rsid w:val="53C63DC6"/>
    <w:rsid w:val="53C75190"/>
    <w:rsid w:val="53D07DDE"/>
    <w:rsid w:val="53D8739D"/>
    <w:rsid w:val="53DD0B3C"/>
    <w:rsid w:val="53F47C92"/>
    <w:rsid w:val="53FA60F8"/>
    <w:rsid w:val="5406015B"/>
    <w:rsid w:val="5409141A"/>
    <w:rsid w:val="542059FC"/>
    <w:rsid w:val="5424683F"/>
    <w:rsid w:val="543E1E01"/>
    <w:rsid w:val="544C2872"/>
    <w:rsid w:val="54580C80"/>
    <w:rsid w:val="5461546C"/>
    <w:rsid w:val="54635BB4"/>
    <w:rsid w:val="547F1AC4"/>
    <w:rsid w:val="547F3937"/>
    <w:rsid w:val="54801FC0"/>
    <w:rsid w:val="54867F83"/>
    <w:rsid w:val="54893383"/>
    <w:rsid w:val="548B3A98"/>
    <w:rsid w:val="548D63DA"/>
    <w:rsid w:val="54962AB5"/>
    <w:rsid w:val="5497530E"/>
    <w:rsid w:val="54A1490E"/>
    <w:rsid w:val="54A60E7D"/>
    <w:rsid w:val="54A8757F"/>
    <w:rsid w:val="54AB71C5"/>
    <w:rsid w:val="54BA28A7"/>
    <w:rsid w:val="54BA5C54"/>
    <w:rsid w:val="54C10D1A"/>
    <w:rsid w:val="54C33BA9"/>
    <w:rsid w:val="54C6069D"/>
    <w:rsid w:val="54CB753D"/>
    <w:rsid w:val="54EF6EB8"/>
    <w:rsid w:val="550F3BED"/>
    <w:rsid w:val="55101F45"/>
    <w:rsid w:val="551072EF"/>
    <w:rsid w:val="55166031"/>
    <w:rsid w:val="551D1565"/>
    <w:rsid w:val="5524443B"/>
    <w:rsid w:val="55345D32"/>
    <w:rsid w:val="553B2D51"/>
    <w:rsid w:val="555E3606"/>
    <w:rsid w:val="555F3297"/>
    <w:rsid w:val="556131AE"/>
    <w:rsid w:val="557B0701"/>
    <w:rsid w:val="557C6555"/>
    <w:rsid w:val="55A43EEC"/>
    <w:rsid w:val="55B57697"/>
    <w:rsid w:val="55BD2CEE"/>
    <w:rsid w:val="55BE6BD4"/>
    <w:rsid w:val="55CB6AE5"/>
    <w:rsid w:val="55DF2C65"/>
    <w:rsid w:val="55E12A05"/>
    <w:rsid w:val="55F12998"/>
    <w:rsid w:val="55F47006"/>
    <w:rsid w:val="55FD2167"/>
    <w:rsid w:val="56007E83"/>
    <w:rsid w:val="560512B2"/>
    <w:rsid w:val="56055EDC"/>
    <w:rsid w:val="56065394"/>
    <w:rsid w:val="560B1414"/>
    <w:rsid w:val="562746A3"/>
    <w:rsid w:val="56314F2E"/>
    <w:rsid w:val="5637484F"/>
    <w:rsid w:val="56442E58"/>
    <w:rsid w:val="565F4FB1"/>
    <w:rsid w:val="56644EA8"/>
    <w:rsid w:val="566A72BD"/>
    <w:rsid w:val="566B49FA"/>
    <w:rsid w:val="566F4E5A"/>
    <w:rsid w:val="56755377"/>
    <w:rsid w:val="567A74A9"/>
    <w:rsid w:val="5680016E"/>
    <w:rsid w:val="5696754C"/>
    <w:rsid w:val="56A27ACF"/>
    <w:rsid w:val="56A81220"/>
    <w:rsid w:val="56BF3426"/>
    <w:rsid w:val="56CB22AC"/>
    <w:rsid w:val="56D31E3F"/>
    <w:rsid w:val="56D3497C"/>
    <w:rsid w:val="56D525A9"/>
    <w:rsid w:val="56E313A3"/>
    <w:rsid w:val="56FF0D11"/>
    <w:rsid w:val="570245DE"/>
    <w:rsid w:val="571050A0"/>
    <w:rsid w:val="573B02DE"/>
    <w:rsid w:val="57462269"/>
    <w:rsid w:val="5748483A"/>
    <w:rsid w:val="574D3E39"/>
    <w:rsid w:val="574D53FB"/>
    <w:rsid w:val="57727C03"/>
    <w:rsid w:val="57740BCA"/>
    <w:rsid w:val="57983C29"/>
    <w:rsid w:val="579E05BD"/>
    <w:rsid w:val="57B1495C"/>
    <w:rsid w:val="57B24E14"/>
    <w:rsid w:val="57B3361A"/>
    <w:rsid w:val="57BD4BA2"/>
    <w:rsid w:val="57C073F4"/>
    <w:rsid w:val="57C56F40"/>
    <w:rsid w:val="57D05B9C"/>
    <w:rsid w:val="57D10B7F"/>
    <w:rsid w:val="57D47865"/>
    <w:rsid w:val="57D63615"/>
    <w:rsid w:val="57EC0B97"/>
    <w:rsid w:val="57EC2C22"/>
    <w:rsid w:val="58044C05"/>
    <w:rsid w:val="5809063F"/>
    <w:rsid w:val="58161126"/>
    <w:rsid w:val="581D5CC6"/>
    <w:rsid w:val="583352EF"/>
    <w:rsid w:val="58415657"/>
    <w:rsid w:val="5842717B"/>
    <w:rsid w:val="58514EF4"/>
    <w:rsid w:val="5889335C"/>
    <w:rsid w:val="58947793"/>
    <w:rsid w:val="5899151C"/>
    <w:rsid w:val="58996AAF"/>
    <w:rsid w:val="589B61BF"/>
    <w:rsid w:val="58A62118"/>
    <w:rsid w:val="58B85338"/>
    <w:rsid w:val="58C850AD"/>
    <w:rsid w:val="58DA1123"/>
    <w:rsid w:val="58DA2E7B"/>
    <w:rsid w:val="58EB7B73"/>
    <w:rsid w:val="58EF32FC"/>
    <w:rsid w:val="58EF72ED"/>
    <w:rsid w:val="58F216F9"/>
    <w:rsid w:val="58F4572D"/>
    <w:rsid w:val="58F9342D"/>
    <w:rsid w:val="58FE3902"/>
    <w:rsid w:val="59080237"/>
    <w:rsid w:val="59195FF9"/>
    <w:rsid w:val="591B1AA8"/>
    <w:rsid w:val="59256657"/>
    <w:rsid w:val="592922C2"/>
    <w:rsid w:val="5936366D"/>
    <w:rsid w:val="594A28EC"/>
    <w:rsid w:val="594A3AA6"/>
    <w:rsid w:val="59526FBA"/>
    <w:rsid w:val="59555592"/>
    <w:rsid w:val="5969307D"/>
    <w:rsid w:val="59747B68"/>
    <w:rsid w:val="597D734D"/>
    <w:rsid w:val="59937F7F"/>
    <w:rsid w:val="599500C8"/>
    <w:rsid w:val="599E4BE5"/>
    <w:rsid w:val="59BA7548"/>
    <w:rsid w:val="59BC16E3"/>
    <w:rsid w:val="59BF32F1"/>
    <w:rsid w:val="59CE7D39"/>
    <w:rsid w:val="59D5002F"/>
    <w:rsid w:val="59D968CB"/>
    <w:rsid w:val="59E016AD"/>
    <w:rsid w:val="59ED3476"/>
    <w:rsid w:val="59EE56FD"/>
    <w:rsid w:val="5A092075"/>
    <w:rsid w:val="5A092BF5"/>
    <w:rsid w:val="5A2F1CE1"/>
    <w:rsid w:val="5A334866"/>
    <w:rsid w:val="5A3807FA"/>
    <w:rsid w:val="5A4954C1"/>
    <w:rsid w:val="5A4E6E86"/>
    <w:rsid w:val="5A5F45D1"/>
    <w:rsid w:val="5A7336EE"/>
    <w:rsid w:val="5AC46CE4"/>
    <w:rsid w:val="5AC93DC4"/>
    <w:rsid w:val="5ACB3AB2"/>
    <w:rsid w:val="5AD06836"/>
    <w:rsid w:val="5AD261DB"/>
    <w:rsid w:val="5AE24F7D"/>
    <w:rsid w:val="5AE5113E"/>
    <w:rsid w:val="5B01028C"/>
    <w:rsid w:val="5B13158C"/>
    <w:rsid w:val="5B176FB1"/>
    <w:rsid w:val="5B2E11A3"/>
    <w:rsid w:val="5B2F7E9A"/>
    <w:rsid w:val="5B404A26"/>
    <w:rsid w:val="5B54186D"/>
    <w:rsid w:val="5B5A3C85"/>
    <w:rsid w:val="5B5F536F"/>
    <w:rsid w:val="5B682720"/>
    <w:rsid w:val="5B6839B8"/>
    <w:rsid w:val="5B9320F6"/>
    <w:rsid w:val="5B9A37DA"/>
    <w:rsid w:val="5BA832D2"/>
    <w:rsid w:val="5BA9304E"/>
    <w:rsid w:val="5BAD542C"/>
    <w:rsid w:val="5BAD5536"/>
    <w:rsid w:val="5BAE17F7"/>
    <w:rsid w:val="5BAF202E"/>
    <w:rsid w:val="5BAF3B08"/>
    <w:rsid w:val="5BAF6BAA"/>
    <w:rsid w:val="5BB31D72"/>
    <w:rsid w:val="5BB96939"/>
    <w:rsid w:val="5BC00149"/>
    <w:rsid w:val="5BC676DF"/>
    <w:rsid w:val="5BC77C90"/>
    <w:rsid w:val="5BEF1DFE"/>
    <w:rsid w:val="5BF33716"/>
    <w:rsid w:val="5C1D0428"/>
    <w:rsid w:val="5C35799E"/>
    <w:rsid w:val="5C363025"/>
    <w:rsid w:val="5C434EAF"/>
    <w:rsid w:val="5C460AE2"/>
    <w:rsid w:val="5C463E2C"/>
    <w:rsid w:val="5C47240D"/>
    <w:rsid w:val="5C472993"/>
    <w:rsid w:val="5C4F1FB0"/>
    <w:rsid w:val="5C5F3867"/>
    <w:rsid w:val="5C7278FA"/>
    <w:rsid w:val="5C892C9E"/>
    <w:rsid w:val="5C8B264B"/>
    <w:rsid w:val="5C8C3E4F"/>
    <w:rsid w:val="5C9B3B49"/>
    <w:rsid w:val="5C9F1C8C"/>
    <w:rsid w:val="5CB14BF0"/>
    <w:rsid w:val="5CBE23A0"/>
    <w:rsid w:val="5CF05E04"/>
    <w:rsid w:val="5CF5705D"/>
    <w:rsid w:val="5CF7180C"/>
    <w:rsid w:val="5CFA07ED"/>
    <w:rsid w:val="5CFA328D"/>
    <w:rsid w:val="5CFC5B7A"/>
    <w:rsid w:val="5D194AF1"/>
    <w:rsid w:val="5D19595C"/>
    <w:rsid w:val="5D35411B"/>
    <w:rsid w:val="5D3970FE"/>
    <w:rsid w:val="5D3A70F4"/>
    <w:rsid w:val="5D4F4269"/>
    <w:rsid w:val="5D5079FB"/>
    <w:rsid w:val="5D5336E2"/>
    <w:rsid w:val="5D57658D"/>
    <w:rsid w:val="5D89045D"/>
    <w:rsid w:val="5D8C6681"/>
    <w:rsid w:val="5D905949"/>
    <w:rsid w:val="5D930F0E"/>
    <w:rsid w:val="5D943EA4"/>
    <w:rsid w:val="5D973E25"/>
    <w:rsid w:val="5D995B80"/>
    <w:rsid w:val="5DA53A8F"/>
    <w:rsid w:val="5DC11735"/>
    <w:rsid w:val="5DDE7F1F"/>
    <w:rsid w:val="5DEB24A0"/>
    <w:rsid w:val="5DF037B0"/>
    <w:rsid w:val="5E0C5A58"/>
    <w:rsid w:val="5E0D40E7"/>
    <w:rsid w:val="5E1275CF"/>
    <w:rsid w:val="5E200D64"/>
    <w:rsid w:val="5E356396"/>
    <w:rsid w:val="5E3C2853"/>
    <w:rsid w:val="5E452681"/>
    <w:rsid w:val="5E583F2A"/>
    <w:rsid w:val="5E5E3D21"/>
    <w:rsid w:val="5E601FE6"/>
    <w:rsid w:val="5E603A9E"/>
    <w:rsid w:val="5E744D84"/>
    <w:rsid w:val="5E8364E9"/>
    <w:rsid w:val="5E8920C3"/>
    <w:rsid w:val="5E8E347A"/>
    <w:rsid w:val="5EA45EAB"/>
    <w:rsid w:val="5EA53D93"/>
    <w:rsid w:val="5EAA2139"/>
    <w:rsid w:val="5EB5568B"/>
    <w:rsid w:val="5EBD5FA5"/>
    <w:rsid w:val="5ECF6476"/>
    <w:rsid w:val="5EDB6FAA"/>
    <w:rsid w:val="5EE25574"/>
    <w:rsid w:val="5F0E3288"/>
    <w:rsid w:val="5F1A57EE"/>
    <w:rsid w:val="5F1D705D"/>
    <w:rsid w:val="5F221936"/>
    <w:rsid w:val="5F2C0A3E"/>
    <w:rsid w:val="5F48251D"/>
    <w:rsid w:val="5F5114C1"/>
    <w:rsid w:val="5F6A6980"/>
    <w:rsid w:val="5F702CC5"/>
    <w:rsid w:val="5F920C20"/>
    <w:rsid w:val="5F940A71"/>
    <w:rsid w:val="5F944B20"/>
    <w:rsid w:val="5FA42829"/>
    <w:rsid w:val="5FA754E9"/>
    <w:rsid w:val="5FC4271C"/>
    <w:rsid w:val="5FC50A55"/>
    <w:rsid w:val="5FC76019"/>
    <w:rsid w:val="5FC77684"/>
    <w:rsid w:val="5FE51918"/>
    <w:rsid w:val="5FE5197E"/>
    <w:rsid w:val="5FE932F2"/>
    <w:rsid w:val="5FEC1CF8"/>
    <w:rsid w:val="5FEC5338"/>
    <w:rsid w:val="5FF41811"/>
    <w:rsid w:val="60002155"/>
    <w:rsid w:val="600C460A"/>
    <w:rsid w:val="60105D87"/>
    <w:rsid w:val="60361A44"/>
    <w:rsid w:val="604663A2"/>
    <w:rsid w:val="604E7C41"/>
    <w:rsid w:val="606B46FA"/>
    <w:rsid w:val="606C0322"/>
    <w:rsid w:val="606E1BEC"/>
    <w:rsid w:val="60835FC8"/>
    <w:rsid w:val="609A03F8"/>
    <w:rsid w:val="609E5A71"/>
    <w:rsid w:val="60A32AE1"/>
    <w:rsid w:val="60A42CD3"/>
    <w:rsid w:val="60A55B55"/>
    <w:rsid w:val="60A6322C"/>
    <w:rsid w:val="60AB5E47"/>
    <w:rsid w:val="60C018E5"/>
    <w:rsid w:val="60C377FD"/>
    <w:rsid w:val="60CF0529"/>
    <w:rsid w:val="60D14F82"/>
    <w:rsid w:val="60E83E17"/>
    <w:rsid w:val="60E87725"/>
    <w:rsid w:val="60EB4CA0"/>
    <w:rsid w:val="60F341F7"/>
    <w:rsid w:val="60F8702A"/>
    <w:rsid w:val="6101317D"/>
    <w:rsid w:val="61016D2F"/>
    <w:rsid w:val="61210909"/>
    <w:rsid w:val="61271964"/>
    <w:rsid w:val="612879E1"/>
    <w:rsid w:val="612B3202"/>
    <w:rsid w:val="612D232E"/>
    <w:rsid w:val="612E78AD"/>
    <w:rsid w:val="613A716E"/>
    <w:rsid w:val="61616CE3"/>
    <w:rsid w:val="616D100E"/>
    <w:rsid w:val="617B2866"/>
    <w:rsid w:val="617B7CA2"/>
    <w:rsid w:val="617D1B5C"/>
    <w:rsid w:val="61A01A65"/>
    <w:rsid w:val="61A1250E"/>
    <w:rsid w:val="61B460FF"/>
    <w:rsid w:val="61B766D0"/>
    <w:rsid w:val="61BE1E6C"/>
    <w:rsid w:val="61C15A17"/>
    <w:rsid w:val="61C32980"/>
    <w:rsid w:val="61D81E51"/>
    <w:rsid w:val="61DA7547"/>
    <w:rsid w:val="61E1141E"/>
    <w:rsid w:val="61E3317F"/>
    <w:rsid w:val="62096FE4"/>
    <w:rsid w:val="62173CD0"/>
    <w:rsid w:val="622101DF"/>
    <w:rsid w:val="62247EA0"/>
    <w:rsid w:val="622F4E62"/>
    <w:rsid w:val="624F307B"/>
    <w:rsid w:val="62671038"/>
    <w:rsid w:val="62802D5E"/>
    <w:rsid w:val="62881E48"/>
    <w:rsid w:val="628C6D23"/>
    <w:rsid w:val="62A672A5"/>
    <w:rsid w:val="62B64EDE"/>
    <w:rsid w:val="62DC63D0"/>
    <w:rsid w:val="62DD14FA"/>
    <w:rsid w:val="62EF1D48"/>
    <w:rsid w:val="62EF41E6"/>
    <w:rsid w:val="631077B1"/>
    <w:rsid w:val="6327025A"/>
    <w:rsid w:val="632846CA"/>
    <w:rsid w:val="63315B5A"/>
    <w:rsid w:val="63330384"/>
    <w:rsid w:val="635912C7"/>
    <w:rsid w:val="635B003F"/>
    <w:rsid w:val="635F53E5"/>
    <w:rsid w:val="636D3153"/>
    <w:rsid w:val="63704A57"/>
    <w:rsid w:val="637A70CE"/>
    <w:rsid w:val="638E40D7"/>
    <w:rsid w:val="6390559E"/>
    <w:rsid w:val="63950FDD"/>
    <w:rsid w:val="63976840"/>
    <w:rsid w:val="63A54C7C"/>
    <w:rsid w:val="63AB59BF"/>
    <w:rsid w:val="63B1125A"/>
    <w:rsid w:val="63B7414E"/>
    <w:rsid w:val="63BC7C71"/>
    <w:rsid w:val="63D567FC"/>
    <w:rsid w:val="63E4244F"/>
    <w:rsid w:val="63F831CB"/>
    <w:rsid w:val="640B6D03"/>
    <w:rsid w:val="640F6927"/>
    <w:rsid w:val="641D7FE8"/>
    <w:rsid w:val="642C7C5E"/>
    <w:rsid w:val="64333ED9"/>
    <w:rsid w:val="643E19B4"/>
    <w:rsid w:val="64410817"/>
    <w:rsid w:val="645E632F"/>
    <w:rsid w:val="64726F06"/>
    <w:rsid w:val="64762AEC"/>
    <w:rsid w:val="648A5F49"/>
    <w:rsid w:val="649213E8"/>
    <w:rsid w:val="649D190A"/>
    <w:rsid w:val="64A31C26"/>
    <w:rsid w:val="64AF082F"/>
    <w:rsid w:val="64D71A54"/>
    <w:rsid w:val="64DD3370"/>
    <w:rsid w:val="650146BD"/>
    <w:rsid w:val="650F110F"/>
    <w:rsid w:val="65151C8E"/>
    <w:rsid w:val="65271FC3"/>
    <w:rsid w:val="652B3EF8"/>
    <w:rsid w:val="65387C2B"/>
    <w:rsid w:val="65435F73"/>
    <w:rsid w:val="654426F3"/>
    <w:rsid w:val="655E3917"/>
    <w:rsid w:val="65702FAD"/>
    <w:rsid w:val="65831F88"/>
    <w:rsid w:val="65884D89"/>
    <w:rsid w:val="65A00501"/>
    <w:rsid w:val="65A94015"/>
    <w:rsid w:val="65B26A53"/>
    <w:rsid w:val="65E1372D"/>
    <w:rsid w:val="65F14B68"/>
    <w:rsid w:val="65F80389"/>
    <w:rsid w:val="65F8085C"/>
    <w:rsid w:val="65FE70D5"/>
    <w:rsid w:val="65FF6082"/>
    <w:rsid w:val="6600025B"/>
    <w:rsid w:val="66032643"/>
    <w:rsid w:val="66034CC5"/>
    <w:rsid w:val="66084CFF"/>
    <w:rsid w:val="661025FB"/>
    <w:rsid w:val="66181200"/>
    <w:rsid w:val="66196430"/>
    <w:rsid w:val="661B172D"/>
    <w:rsid w:val="662971B1"/>
    <w:rsid w:val="6633620E"/>
    <w:rsid w:val="663A7A43"/>
    <w:rsid w:val="665F109D"/>
    <w:rsid w:val="66695BB3"/>
    <w:rsid w:val="668365BE"/>
    <w:rsid w:val="6687364C"/>
    <w:rsid w:val="668F3696"/>
    <w:rsid w:val="669C566E"/>
    <w:rsid w:val="669E116F"/>
    <w:rsid w:val="66B2310C"/>
    <w:rsid w:val="66B71D4A"/>
    <w:rsid w:val="66D5591A"/>
    <w:rsid w:val="66DF0B01"/>
    <w:rsid w:val="66FD73BE"/>
    <w:rsid w:val="6720649E"/>
    <w:rsid w:val="672462BB"/>
    <w:rsid w:val="672E57FA"/>
    <w:rsid w:val="673A48A4"/>
    <w:rsid w:val="673E210F"/>
    <w:rsid w:val="6744102F"/>
    <w:rsid w:val="67697D88"/>
    <w:rsid w:val="676E3488"/>
    <w:rsid w:val="67723854"/>
    <w:rsid w:val="6776029E"/>
    <w:rsid w:val="678B3B01"/>
    <w:rsid w:val="678B3C28"/>
    <w:rsid w:val="678C28D6"/>
    <w:rsid w:val="67966BC9"/>
    <w:rsid w:val="67B60ABC"/>
    <w:rsid w:val="67C4257B"/>
    <w:rsid w:val="67CA3E24"/>
    <w:rsid w:val="67CC117E"/>
    <w:rsid w:val="67E84753"/>
    <w:rsid w:val="67EA1F95"/>
    <w:rsid w:val="67F7206E"/>
    <w:rsid w:val="67F74EE2"/>
    <w:rsid w:val="68060525"/>
    <w:rsid w:val="68196742"/>
    <w:rsid w:val="681D173B"/>
    <w:rsid w:val="68284DE7"/>
    <w:rsid w:val="683B5D40"/>
    <w:rsid w:val="68410189"/>
    <w:rsid w:val="68556927"/>
    <w:rsid w:val="685F5EF1"/>
    <w:rsid w:val="686E1739"/>
    <w:rsid w:val="687270F1"/>
    <w:rsid w:val="687A4E44"/>
    <w:rsid w:val="68895B28"/>
    <w:rsid w:val="68917B8E"/>
    <w:rsid w:val="689C6F89"/>
    <w:rsid w:val="68B4024F"/>
    <w:rsid w:val="68CF327D"/>
    <w:rsid w:val="68D15590"/>
    <w:rsid w:val="68D34B0F"/>
    <w:rsid w:val="690307DC"/>
    <w:rsid w:val="691E38A5"/>
    <w:rsid w:val="69272D23"/>
    <w:rsid w:val="692D4A14"/>
    <w:rsid w:val="693F4DC1"/>
    <w:rsid w:val="694373AF"/>
    <w:rsid w:val="695024C9"/>
    <w:rsid w:val="69583A48"/>
    <w:rsid w:val="69833BD4"/>
    <w:rsid w:val="69840D04"/>
    <w:rsid w:val="69857EEF"/>
    <w:rsid w:val="69916E48"/>
    <w:rsid w:val="69927868"/>
    <w:rsid w:val="699B7C2A"/>
    <w:rsid w:val="69A55B0F"/>
    <w:rsid w:val="69B01064"/>
    <w:rsid w:val="69B05705"/>
    <w:rsid w:val="69B2571A"/>
    <w:rsid w:val="69B41A3E"/>
    <w:rsid w:val="69DB0C35"/>
    <w:rsid w:val="69EE3409"/>
    <w:rsid w:val="6A013560"/>
    <w:rsid w:val="6A1E4337"/>
    <w:rsid w:val="6A220F9C"/>
    <w:rsid w:val="6A4C038C"/>
    <w:rsid w:val="6A582B8E"/>
    <w:rsid w:val="6A810F8E"/>
    <w:rsid w:val="6A8F40D1"/>
    <w:rsid w:val="6A94191D"/>
    <w:rsid w:val="6A9C2C1C"/>
    <w:rsid w:val="6A9C62A0"/>
    <w:rsid w:val="6AA05A23"/>
    <w:rsid w:val="6AA67B38"/>
    <w:rsid w:val="6AA718BC"/>
    <w:rsid w:val="6AAB0C1B"/>
    <w:rsid w:val="6ABB0756"/>
    <w:rsid w:val="6ABB5C47"/>
    <w:rsid w:val="6ABC0F71"/>
    <w:rsid w:val="6ABF0E7D"/>
    <w:rsid w:val="6ABF6289"/>
    <w:rsid w:val="6AC16B1A"/>
    <w:rsid w:val="6AC273E9"/>
    <w:rsid w:val="6AC76889"/>
    <w:rsid w:val="6AC82378"/>
    <w:rsid w:val="6ACF0460"/>
    <w:rsid w:val="6AD60E6C"/>
    <w:rsid w:val="6AE515F2"/>
    <w:rsid w:val="6AFC1EE8"/>
    <w:rsid w:val="6AFE206D"/>
    <w:rsid w:val="6B0B5975"/>
    <w:rsid w:val="6B104EF8"/>
    <w:rsid w:val="6B110B45"/>
    <w:rsid w:val="6B1B2818"/>
    <w:rsid w:val="6B223D48"/>
    <w:rsid w:val="6B50704F"/>
    <w:rsid w:val="6B525331"/>
    <w:rsid w:val="6B56531F"/>
    <w:rsid w:val="6B6D44E9"/>
    <w:rsid w:val="6B6E00B2"/>
    <w:rsid w:val="6B6E7ECC"/>
    <w:rsid w:val="6B9157CB"/>
    <w:rsid w:val="6B9D4578"/>
    <w:rsid w:val="6BA9408F"/>
    <w:rsid w:val="6BC75985"/>
    <w:rsid w:val="6BCA186A"/>
    <w:rsid w:val="6BCB0CB9"/>
    <w:rsid w:val="6BE524C7"/>
    <w:rsid w:val="6C0F59F3"/>
    <w:rsid w:val="6C193E33"/>
    <w:rsid w:val="6C2A17F9"/>
    <w:rsid w:val="6C3A6D0A"/>
    <w:rsid w:val="6C550CCA"/>
    <w:rsid w:val="6C5822D1"/>
    <w:rsid w:val="6C6066A6"/>
    <w:rsid w:val="6C66186F"/>
    <w:rsid w:val="6C90450C"/>
    <w:rsid w:val="6C913632"/>
    <w:rsid w:val="6C942A0F"/>
    <w:rsid w:val="6C957602"/>
    <w:rsid w:val="6CA53E91"/>
    <w:rsid w:val="6CA7692B"/>
    <w:rsid w:val="6CB14C49"/>
    <w:rsid w:val="6CC10CFB"/>
    <w:rsid w:val="6CCC47AC"/>
    <w:rsid w:val="6CDB1414"/>
    <w:rsid w:val="6CEE0526"/>
    <w:rsid w:val="6CEF5125"/>
    <w:rsid w:val="6D100068"/>
    <w:rsid w:val="6D185188"/>
    <w:rsid w:val="6D1D49C2"/>
    <w:rsid w:val="6D361E99"/>
    <w:rsid w:val="6D40050F"/>
    <w:rsid w:val="6D54354D"/>
    <w:rsid w:val="6D586235"/>
    <w:rsid w:val="6D5A2396"/>
    <w:rsid w:val="6D5F5422"/>
    <w:rsid w:val="6D6356A5"/>
    <w:rsid w:val="6D692F64"/>
    <w:rsid w:val="6D7A6F0C"/>
    <w:rsid w:val="6D7A709C"/>
    <w:rsid w:val="6D841FF4"/>
    <w:rsid w:val="6D8E3D3F"/>
    <w:rsid w:val="6D940924"/>
    <w:rsid w:val="6DBA6FC5"/>
    <w:rsid w:val="6DBC2458"/>
    <w:rsid w:val="6DDE2AE6"/>
    <w:rsid w:val="6DE05374"/>
    <w:rsid w:val="6E016560"/>
    <w:rsid w:val="6E0342B6"/>
    <w:rsid w:val="6E081985"/>
    <w:rsid w:val="6E1C5FF0"/>
    <w:rsid w:val="6E274141"/>
    <w:rsid w:val="6E46167B"/>
    <w:rsid w:val="6E4D6B2C"/>
    <w:rsid w:val="6E566A74"/>
    <w:rsid w:val="6E581490"/>
    <w:rsid w:val="6E6F5AB7"/>
    <w:rsid w:val="6E75554F"/>
    <w:rsid w:val="6E7E1AC6"/>
    <w:rsid w:val="6E9063D1"/>
    <w:rsid w:val="6E9403B8"/>
    <w:rsid w:val="6EA14579"/>
    <w:rsid w:val="6EA46795"/>
    <w:rsid w:val="6EB74CA5"/>
    <w:rsid w:val="6ED5031B"/>
    <w:rsid w:val="6ED85C8B"/>
    <w:rsid w:val="6EDD4DD2"/>
    <w:rsid w:val="6EE32988"/>
    <w:rsid w:val="6EE348FB"/>
    <w:rsid w:val="6EE53A2F"/>
    <w:rsid w:val="6EE811E6"/>
    <w:rsid w:val="6EF16DD3"/>
    <w:rsid w:val="6EFF60A5"/>
    <w:rsid w:val="6F1013E7"/>
    <w:rsid w:val="6F194177"/>
    <w:rsid w:val="6F23339E"/>
    <w:rsid w:val="6F30272D"/>
    <w:rsid w:val="6F364497"/>
    <w:rsid w:val="6F5A2A02"/>
    <w:rsid w:val="6F5C3E8E"/>
    <w:rsid w:val="6F5D4AD4"/>
    <w:rsid w:val="6F6E27F8"/>
    <w:rsid w:val="6F737986"/>
    <w:rsid w:val="6F862415"/>
    <w:rsid w:val="6F921153"/>
    <w:rsid w:val="6FBE7855"/>
    <w:rsid w:val="6FEB2005"/>
    <w:rsid w:val="70044340"/>
    <w:rsid w:val="703B13CF"/>
    <w:rsid w:val="704716DB"/>
    <w:rsid w:val="70483535"/>
    <w:rsid w:val="704C3E52"/>
    <w:rsid w:val="7059178E"/>
    <w:rsid w:val="7064228D"/>
    <w:rsid w:val="706D21DF"/>
    <w:rsid w:val="706E78E5"/>
    <w:rsid w:val="70884116"/>
    <w:rsid w:val="70A5079A"/>
    <w:rsid w:val="70AD44D8"/>
    <w:rsid w:val="70B04DD6"/>
    <w:rsid w:val="70BA7D90"/>
    <w:rsid w:val="70BE3612"/>
    <w:rsid w:val="70CC4D96"/>
    <w:rsid w:val="70D074BC"/>
    <w:rsid w:val="70FF5B11"/>
    <w:rsid w:val="712D7244"/>
    <w:rsid w:val="712F4B4A"/>
    <w:rsid w:val="714F52EF"/>
    <w:rsid w:val="715737D1"/>
    <w:rsid w:val="715D7457"/>
    <w:rsid w:val="717464FF"/>
    <w:rsid w:val="71762708"/>
    <w:rsid w:val="717670A9"/>
    <w:rsid w:val="71A017CE"/>
    <w:rsid w:val="71A11AA1"/>
    <w:rsid w:val="71BB25FC"/>
    <w:rsid w:val="71C54FAD"/>
    <w:rsid w:val="71C740EC"/>
    <w:rsid w:val="71EB3590"/>
    <w:rsid w:val="71F61FFC"/>
    <w:rsid w:val="72001BB1"/>
    <w:rsid w:val="7218705B"/>
    <w:rsid w:val="72207268"/>
    <w:rsid w:val="72292713"/>
    <w:rsid w:val="72343B29"/>
    <w:rsid w:val="72344E4C"/>
    <w:rsid w:val="724A46A8"/>
    <w:rsid w:val="72521C54"/>
    <w:rsid w:val="725C2038"/>
    <w:rsid w:val="72634473"/>
    <w:rsid w:val="72645830"/>
    <w:rsid w:val="72665372"/>
    <w:rsid w:val="726779B0"/>
    <w:rsid w:val="727D6EBA"/>
    <w:rsid w:val="72804E96"/>
    <w:rsid w:val="7287293B"/>
    <w:rsid w:val="72911400"/>
    <w:rsid w:val="72992F84"/>
    <w:rsid w:val="72B948DE"/>
    <w:rsid w:val="72C07D1B"/>
    <w:rsid w:val="72CA7B81"/>
    <w:rsid w:val="72CB543E"/>
    <w:rsid w:val="72E05A52"/>
    <w:rsid w:val="72E37E7E"/>
    <w:rsid w:val="72E4076D"/>
    <w:rsid w:val="72E74517"/>
    <w:rsid w:val="72F65A73"/>
    <w:rsid w:val="72F66182"/>
    <w:rsid w:val="73030551"/>
    <w:rsid w:val="730C28DA"/>
    <w:rsid w:val="732256A9"/>
    <w:rsid w:val="73291624"/>
    <w:rsid w:val="734551B0"/>
    <w:rsid w:val="7366352C"/>
    <w:rsid w:val="736D01BA"/>
    <w:rsid w:val="73780DD0"/>
    <w:rsid w:val="737B047F"/>
    <w:rsid w:val="738356D3"/>
    <w:rsid w:val="73A8610C"/>
    <w:rsid w:val="73AB1040"/>
    <w:rsid w:val="73BF4659"/>
    <w:rsid w:val="73C036FB"/>
    <w:rsid w:val="73C25F97"/>
    <w:rsid w:val="73D838AD"/>
    <w:rsid w:val="73E862C5"/>
    <w:rsid w:val="73E96611"/>
    <w:rsid w:val="73FF369C"/>
    <w:rsid w:val="7417449D"/>
    <w:rsid w:val="7419513C"/>
    <w:rsid w:val="742A35E0"/>
    <w:rsid w:val="743A624D"/>
    <w:rsid w:val="7445020A"/>
    <w:rsid w:val="745749E3"/>
    <w:rsid w:val="746F54E2"/>
    <w:rsid w:val="747D64D2"/>
    <w:rsid w:val="748E5B2A"/>
    <w:rsid w:val="74BB0FB8"/>
    <w:rsid w:val="74BF44E7"/>
    <w:rsid w:val="74D33F6F"/>
    <w:rsid w:val="74E1524A"/>
    <w:rsid w:val="74EF05D8"/>
    <w:rsid w:val="74F053ED"/>
    <w:rsid w:val="74F42E6E"/>
    <w:rsid w:val="75011D5B"/>
    <w:rsid w:val="7504080E"/>
    <w:rsid w:val="75103415"/>
    <w:rsid w:val="75133D76"/>
    <w:rsid w:val="75497CA3"/>
    <w:rsid w:val="75573198"/>
    <w:rsid w:val="755D72AA"/>
    <w:rsid w:val="755E4AD9"/>
    <w:rsid w:val="756C3154"/>
    <w:rsid w:val="756D648E"/>
    <w:rsid w:val="75765EC0"/>
    <w:rsid w:val="75800090"/>
    <w:rsid w:val="759F04B2"/>
    <w:rsid w:val="75A07003"/>
    <w:rsid w:val="75A55ED6"/>
    <w:rsid w:val="75D86089"/>
    <w:rsid w:val="75E241B8"/>
    <w:rsid w:val="75E80AB3"/>
    <w:rsid w:val="75E96698"/>
    <w:rsid w:val="760A0DE2"/>
    <w:rsid w:val="761D613E"/>
    <w:rsid w:val="76226559"/>
    <w:rsid w:val="7628077C"/>
    <w:rsid w:val="763413EB"/>
    <w:rsid w:val="76373F9F"/>
    <w:rsid w:val="763913A2"/>
    <w:rsid w:val="763B7E6F"/>
    <w:rsid w:val="764333CC"/>
    <w:rsid w:val="766535A1"/>
    <w:rsid w:val="76685DB6"/>
    <w:rsid w:val="768F0959"/>
    <w:rsid w:val="76923023"/>
    <w:rsid w:val="76991C52"/>
    <w:rsid w:val="769D546C"/>
    <w:rsid w:val="76B60589"/>
    <w:rsid w:val="76C065F4"/>
    <w:rsid w:val="76C515AB"/>
    <w:rsid w:val="76D81F75"/>
    <w:rsid w:val="76E21F37"/>
    <w:rsid w:val="76FD3723"/>
    <w:rsid w:val="77091FFD"/>
    <w:rsid w:val="771219FD"/>
    <w:rsid w:val="774A78EE"/>
    <w:rsid w:val="775A0BAF"/>
    <w:rsid w:val="776E2D1B"/>
    <w:rsid w:val="77724677"/>
    <w:rsid w:val="7776252E"/>
    <w:rsid w:val="777D2664"/>
    <w:rsid w:val="777F0B72"/>
    <w:rsid w:val="777F7336"/>
    <w:rsid w:val="7789457F"/>
    <w:rsid w:val="778B45AB"/>
    <w:rsid w:val="778C48EA"/>
    <w:rsid w:val="778D6C60"/>
    <w:rsid w:val="77955CEE"/>
    <w:rsid w:val="77983B59"/>
    <w:rsid w:val="77A27D33"/>
    <w:rsid w:val="77A6073C"/>
    <w:rsid w:val="77AF48FD"/>
    <w:rsid w:val="77B92A51"/>
    <w:rsid w:val="77BA5181"/>
    <w:rsid w:val="77D76222"/>
    <w:rsid w:val="77EA6173"/>
    <w:rsid w:val="77EB7DAC"/>
    <w:rsid w:val="77F91BF5"/>
    <w:rsid w:val="78011F16"/>
    <w:rsid w:val="78022FB2"/>
    <w:rsid w:val="78135D5F"/>
    <w:rsid w:val="78152C12"/>
    <w:rsid w:val="781C31AD"/>
    <w:rsid w:val="784A0480"/>
    <w:rsid w:val="78514E6B"/>
    <w:rsid w:val="786D1F87"/>
    <w:rsid w:val="78755F86"/>
    <w:rsid w:val="787A7B0E"/>
    <w:rsid w:val="787C0D4F"/>
    <w:rsid w:val="78811DEB"/>
    <w:rsid w:val="788339BE"/>
    <w:rsid w:val="78A161D8"/>
    <w:rsid w:val="78D31BC4"/>
    <w:rsid w:val="78EE2EC6"/>
    <w:rsid w:val="78F77307"/>
    <w:rsid w:val="78F9378E"/>
    <w:rsid w:val="790862E3"/>
    <w:rsid w:val="790A1412"/>
    <w:rsid w:val="790E079D"/>
    <w:rsid w:val="7920336F"/>
    <w:rsid w:val="79213F4D"/>
    <w:rsid w:val="793A4AD2"/>
    <w:rsid w:val="79400A11"/>
    <w:rsid w:val="794546B4"/>
    <w:rsid w:val="794B087A"/>
    <w:rsid w:val="79505F5E"/>
    <w:rsid w:val="795B21BE"/>
    <w:rsid w:val="79634993"/>
    <w:rsid w:val="79685D55"/>
    <w:rsid w:val="7975160D"/>
    <w:rsid w:val="797A3F29"/>
    <w:rsid w:val="79840DA2"/>
    <w:rsid w:val="79947030"/>
    <w:rsid w:val="799C4BFB"/>
    <w:rsid w:val="79A3232A"/>
    <w:rsid w:val="79B31B8F"/>
    <w:rsid w:val="79BE136C"/>
    <w:rsid w:val="79C93DC5"/>
    <w:rsid w:val="79D3558F"/>
    <w:rsid w:val="79E37C57"/>
    <w:rsid w:val="7A0B3DEE"/>
    <w:rsid w:val="7A170370"/>
    <w:rsid w:val="7A1A1C0E"/>
    <w:rsid w:val="7A3C56D9"/>
    <w:rsid w:val="7A4F614C"/>
    <w:rsid w:val="7A6F0DB3"/>
    <w:rsid w:val="7A7A4764"/>
    <w:rsid w:val="7A8B3742"/>
    <w:rsid w:val="7A9A5F11"/>
    <w:rsid w:val="7AA94AD2"/>
    <w:rsid w:val="7AC73276"/>
    <w:rsid w:val="7AD81831"/>
    <w:rsid w:val="7ADF6C49"/>
    <w:rsid w:val="7AEB0FA0"/>
    <w:rsid w:val="7AF6082F"/>
    <w:rsid w:val="7B0F135C"/>
    <w:rsid w:val="7B1A4D45"/>
    <w:rsid w:val="7B1F3215"/>
    <w:rsid w:val="7B22770E"/>
    <w:rsid w:val="7B26764F"/>
    <w:rsid w:val="7B301C6E"/>
    <w:rsid w:val="7B4701FF"/>
    <w:rsid w:val="7B55423A"/>
    <w:rsid w:val="7B56720D"/>
    <w:rsid w:val="7B644243"/>
    <w:rsid w:val="7B921A1B"/>
    <w:rsid w:val="7B993B88"/>
    <w:rsid w:val="7BD83E41"/>
    <w:rsid w:val="7BE973D6"/>
    <w:rsid w:val="7BED13F0"/>
    <w:rsid w:val="7BF37998"/>
    <w:rsid w:val="7C006F61"/>
    <w:rsid w:val="7C0E0F14"/>
    <w:rsid w:val="7C1079D9"/>
    <w:rsid w:val="7C155707"/>
    <w:rsid w:val="7C204F1B"/>
    <w:rsid w:val="7C353891"/>
    <w:rsid w:val="7C423D01"/>
    <w:rsid w:val="7C447025"/>
    <w:rsid w:val="7C76646E"/>
    <w:rsid w:val="7C7E46D6"/>
    <w:rsid w:val="7C7E5EF4"/>
    <w:rsid w:val="7C872219"/>
    <w:rsid w:val="7C8D207D"/>
    <w:rsid w:val="7C956991"/>
    <w:rsid w:val="7C9F2F26"/>
    <w:rsid w:val="7CB90AB3"/>
    <w:rsid w:val="7CBB37E8"/>
    <w:rsid w:val="7CD2139D"/>
    <w:rsid w:val="7CDC54BE"/>
    <w:rsid w:val="7CDE5175"/>
    <w:rsid w:val="7CEB23DF"/>
    <w:rsid w:val="7CF454FC"/>
    <w:rsid w:val="7D0627C4"/>
    <w:rsid w:val="7D162EF8"/>
    <w:rsid w:val="7D1A6A86"/>
    <w:rsid w:val="7D2B66F3"/>
    <w:rsid w:val="7D3C1B53"/>
    <w:rsid w:val="7D443801"/>
    <w:rsid w:val="7D580E29"/>
    <w:rsid w:val="7D724E50"/>
    <w:rsid w:val="7D976E8E"/>
    <w:rsid w:val="7D9D47C2"/>
    <w:rsid w:val="7DB13674"/>
    <w:rsid w:val="7DC31A72"/>
    <w:rsid w:val="7DC74EE5"/>
    <w:rsid w:val="7DC86643"/>
    <w:rsid w:val="7DEE4994"/>
    <w:rsid w:val="7DEF3BDB"/>
    <w:rsid w:val="7DEF47A8"/>
    <w:rsid w:val="7DF03D35"/>
    <w:rsid w:val="7DF9667B"/>
    <w:rsid w:val="7E276140"/>
    <w:rsid w:val="7E2F0CFE"/>
    <w:rsid w:val="7E4045E9"/>
    <w:rsid w:val="7E427BD9"/>
    <w:rsid w:val="7E682F48"/>
    <w:rsid w:val="7E747174"/>
    <w:rsid w:val="7E8B0BF7"/>
    <w:rsid w:val="7E907C87"/>
    <w:rsid w:val="7E955D07"/>
    <w:rsid w:val="7EA020AB"/>
    <w:rsid w:val="7EAA6423"/>
    <w:rsid w:val="7EBE525E"/>
    <w:rsid w:val="7EBF1663"/>
    <w:rsid w:val="7EC170C4"/>
    <w:rsid w:val="7ECB018F"/>
    <w:rsid w:val="7EDE3A5A"/>
    <w:rsid w:val="7EE822DB"/>
    <w:rsid w:val="7EE92EC8"/>
    <w:rsid w:val="7EF61AEC"/>
    <w:rsid w:val="7EFC254A"/>
    <w:rsid w:val="7F056034"/>
    <w:rsid w:val="7F1C3BEB"/>
    <w:rsid w:val="7F227FDA"/>
    <w:rsid w:val="7F237A93"/>
    <w:rsid w:val="7F2452E4"/>
    <w:rsid w:val="7F3414DA"/>
    <w:rsid w:val="7F36437E"/>
    <w:rsid w:val="7F3C718A"/>
    <w:rsid w:val="7F3F41E7"/>
    <w:rsid w:val="7F426FE4"/>
    <w:rsid w:val="7F521FF8"/>
    <w:rsid w:val="7F753D77"/>
    <w:rsid w:val="7F7A3C75"/>
    <w:rsid w:val="7F884039"/>
    <w:rsid w:val="7F8D15A9"/>
    <w:rsid w:val="7F910CB4"/>
    <w:rsid w:val="7F97111E"/>
    <w:rsid w:val="7FB16529"/>
    <w:rsid w:val="7FC84EA7"/>
    <w:rsid w:val="7FD047EB"/>
    <w:rsid w:val="7FDD2047"/>
    <w:rsid w:val="7FE240C1"/>
    <w:rsid w:val="7FFD55E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4A195445-FE24-4BBD-896C-2FB8806BC9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unhideWhenUsed="1" w:qFormat="1"/>
    <w:lsdException w:name="heading 3" w:unhideWhenUsed="1" w:qFormat="1"/>
    <w:lsdException w:name="heading 4"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spacing w:line="360" w:lineRule="auto"/>
      <w:ind w:firstLineChars="200" w:firstLine="200"/>
      <w:jc w:val="both"/>
    </w:pPr>
    <w:rPr>
      <w:kern w:val="2"/>
      <w:sz w:val="24"/>
      <w:szCs w:val="22"/>
    </w:rPr>
  </w:style>
  <w:style w:type="paragraph" w:styleId="1">
    <w:name w:val="heading 1"/>
    <w:basedOn w:val="a"/>
    <w:next w:val="a"/>
    <w:uiPriority w:val="9"/>
    <w:qFormat/>
    <w:pPr>
      <w:keepLines/>
      <w:numPr>
        <w:numId w:val="1"/>
      </w:numPr>
      <w:spacing w:before="240" w:after="120" w:line="480" w:lineRule="auto"/>
      <w:ind w:firstLineChars="0" w:firstLine="0"/>
      <w:jc w:val="left"/>
      <w:outlineLvl w:val="0"/>
    </w:pPr>
    <w:rPr>
      <w:rFonts w:eastAsia="黑体"/>
      <w:b/>
      <w:bCs/>
      <w:kern w:val="44"/>
      <w:sz w:val="32"/>
      <w:szCs w:val="44"/>
    </w:rPr>
  </w:style>
  <w:style w:type="paragraph" w:styleId="2">
    <w:name w:val="heading 2"/>
    <w:basedOn w:val="a"/>
    <w:next w:val="a"/>
    <w:unhideWhenUsed/>
    <w:qFormat/>
    <w:pPr>
      <w:keepNext/>
      <w:keepLines/>
      <w:numPr>
        <w:ilvl w:val="1"/>
        <w:numId w:val="1"/>
      </w:numPr>
      <w:spacing w:before="260" w:after="260" w:line="413" w:lineRule="auto"/>
      <w:ind w:firstLineChars="0"/>
      <w:outlineLvl w:val="1"/>
    </w:pPr>
    <w:rPr>
      <w:rFonts w:ascii="Arial" w:eastAsia="黑体" w:hAnsi="Arial"/>
      <w:sz w:val="32"/>
    </w:rPr>
  </w:style>
  <w:style w:type="paragraph" w:styleId="3">
    <w:name w:val="heading 3"/>
    <w:basedOn w:val="a"/>
    <w:next w:val="a"/>
    <w:unhideWhenUsed/>
    <w:qFormat/>
    <w:pPr>
      <w:keepNext/>
      <w:keepLines/>
      <w:numPr>
        <w:ilvl w:val="2"/>
        <w:numId w:val="1"/>
      </w:numPr>
      <w:spacing w:before="260" w:after="260" w:line="413" w:lineRule="auto"/>
      <w:ind w:firstLineChars="0" w:firstLine="0"/>
      <w:outlineLvl w:val="2"/>
    </w:pPr>
    <w:rPr>
      <w:b/>
      <w:sz w:val="32"/>
    </w:rPr>
  </w:style>
  <w:style w:type="paragraph" w:styleId="4">
    <w:name w:val="heading 4"/>
    <w:basedOn w:val="a"/>
    <w:next w:val="a"/>
    <w:unhideWhenUsed/>
    <w:qFormat/>
    <w:pPr>
      <w:keepNext/>
      <w:keepLines/>
      <w:numPr>
        <w:ilvl w:val="3"/>
        <w:numId w:val="1"/>
      </w:numPr>
      <w:spacing w:before="280" w:after="290" w:line="372" w:lineRule="auto"/>
      <w:ind w:firstLineChars="0" w:firstLine="0"/>
      <w:outlineLvl w:val="3"/>
    </w:pPr>
    <w:rPr>
      <w:rFonts w:ascii="Arial" w:eastAsia="黑体" w:hAnsi="Arial"/>
      <w:b/>
      <w:sz w:val="28"/>
    </w:rPr>
  </w:style>
  <w:style w:type="paragraph" w:styleId="5">
    <w:name w:val="heading 5"/>
    <w:basedOn w:val="a"/>
    <w:next w:val="a"/>
    <w:semiHidden/>
    <w:unhideWhenUsed/>
    <w:qFormat/>
    <w:pPr>
      <w:keepNext/>
      <w:keepLines/>
      <w:numPr>
        <w:ilvl w:val="4"/>
        <w:numId w:val="1"/>
      </w:numPr>
      <w:spacing w:before="280" w:after="290" w:line="372" w:lineRule="auto"/>
      <w:ind w:firstLineChars="0" w:firstLine="0"/>
      <w:outlineLvl w:val="4"/>
    </w:pPr>
    <w:rPr>
      <w:b/>
      <w:sz w:val="28"/>
    </w:rPr>
  </w:style>
  <w:style w:type="paragraph" w:styleId="6">
    <w:name w:val="heading 6"/>
    <w:basedOn w:val="a"/>
    <w:next w:val="a"/>
    <w:semiHidden/>
    <w:unhideWhenUsed/>
    <w:qFormat/>
    <w:pPr>
      <w:keepNext/>
      <w:keepLines/>
      <w:numPr>
        <w:ilvl w:val="5"/>
        <w:numId w:val="1"/>
      </w:numPr>
      <w:spacing w:before="240" w:after="64" w:line="317" w:lineRule="auto"/>
      <w:ind w:firstLineChars="0" w:firstLine="0"/>
      <w:outlineLvl w:val="5"/>
    </w:pPr>
    <w:rPr>
      <w:rFonts w:ascii="Arial" w:eastAsia="黑体" w:hAnsi="Arial"/>
      <w:b/>
    </w:rPr>
  </w:style>
  <w:style w:type="paragraph" w:styleId="7">
    <w:name w:val="heading 7"/>
    <w:basedOn w:val="a"/>
    <w:next w:val="a"/>
    <w:semiHidden/>
    <w:unhideWhenUsed/>
    <w:qFormat/>
    <w:pPr>
      <w:keepNext/>
      <w:keepLines/>
      <w:numPr>
        <w:ilvl w:val="6"/>
        <w:numId w:val="1"/>
      </w:numPr>
      <w:spacing w:before="240" w:after="64" w:line="317" w:lineRule="auto"/>
      <w:ind w:firstLineChars="0" w:firstLine="0"/>
      <w:outlineLvl w:val="6"/>
    </w:pPr>
    <w:rPr>
      <w:b/>
    </w:rPr>
  </w:style>
  <w:style w:type="paragraph" w:styleId="8">
    <w:name w:val="heading 8"/>
    <w:basedOn w:val="a"/>
    <w:next w:val="a"/>
    <w:semiHidden/>
    <w:unhideWhenUsed/>
    <w:qFormat/>
    <w:pPr>
      <w:keepNext/>
      <w:keepLines/>
      <w:numPr>
        <w:ilvl w:val="7"/>
        <w:numId w:val="1"/>
      </w:numPr>
      <w:spacing w:before="240" w:after="64" w:line="317" w:lineRule="auto"/>
      <w:ind w:firstLineChars="0" w:firstLine="0"/>
      <w:outlineLvl w:val="7"/>
    </w:pPr>
    <w:rPr>
      <w:rFonts w:ascii="Arial" w:eastAsia="黑体" w:hAnsi="Arial"/>
    </w:rPr>
  </w:style>
  <w:style w:type="paragraph" w:styleId="9">
    <w:name w:val="heading 9"/>
    <w:basedOn w:val="a"/>
    <w:next w:val="a"/>
    <w:semiHidden/>
    <w:unhideWhenUsed/>
    <w:qFormat/>
    <w:pPr>
      <w:keepNext/>
      <w:keepLines/>
      <w:numPr>
        <w:ilvl w:val="8"/>
        <w:numId w:val="1"/>
      </w:numPr>
      <w:spacing w:before="240" w:after="64" w:line="317" w:lineRule="auto"/>
      <w:ind w:firstLineChars="0" w:firstLine="0"/>
      <w:outlineLvl w:val="8"/>
    </w:pPr>
    <w:rPr>
      <w:rFonts w:ascii="Arial" w:eastAsia="黑体" w:hAnsi="Arial"/>
      <w:sz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0">
    <w:name w:val="正文（文本）"/>
    <w:qFormat/>
    <w:pPr>
      <w:widowControl w:val="0"/>
      <w:snapToGrid w:val="0"/>
      <w:spacing w:beforeLines="20" w:line="360" w:lineRule="auto"/>
      <w:jc w:val="center"/>
    </w:pPr>
    <w:rPr>
      <w:rFonts w:hAnsi="宋体"/>
      <w:kern w:val="2"/>
      <w:sz w:val="28"/>
      <w:szCs w:val="28"/>
    </w:rPr>
  </w:style>
  <w:style w:type="paragraph" w:styleId="a4">
    <w:name w:val="footer"/>
    <w:basedOn w:val="a"/>
    <w:link w:val="Char"/>
    <w:qFormat/>
    <w:pPr>
      <w:tabs>
        <w:tab w:val="center" w:pos="4153"/>
        <w:tab w:val="right" w:pos="8306"/>
      </w:tabs>
      <w:snapToGrid w:val="0"/>
      <w:spacing w:line="240" w:lineRule="auto"/>
      <w:jc w:val="left"/>
    </w:pPr>
    <w:rPr>
      <w:sz w:val="18"/>
      <w:szCs w:val="18"/>
    </w:rPr>
  </w:style>
  <w:style w:type="paragraph" w:styleId="a5">
    <w:name w:val="header"/>
    <w:basedOn w:val="a"/>
    <w:link w:val="Char0"/>
    <w:qFormat/>
    <w:pPr>
      <w:pBdr>
        <w:bottom w:val="single" w:sz="6" w:space="1" w:color="auto"/>
      </w:pBdr>
      <w:tabs>
        <w:tab w:val="center" w:pos="4153"/>
        <w:tab w:val="right" w:pos="8306"/>
      </w:tabs>
      <w:snapToGrid w:val="0"/>
      <w:spacing w:line="240" w:lineRule="auto"/>
      <w:jc w:val="center"/>
    </w:pPr>
    <w:rPr>
      <w:sz w:val="18"/>
      <w:szCs w:val="18"/>
    </w:rPr>
  </w:style>
  <w:style w:type="table" w:styleId="a6">
    <w:name w:val="Table Grid"/>
    <w:basedOn w:val="a2"/>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
    <w:name w:val="（1）"/>
    <w:basedOn w:val="a"/>
    <w:link w:val="1Char"/>
    <w:qFormat/>
    <w:rPr>
      <w:b/>
    </w:rPr>
  </w:style>
  <w:style w:type="paragraph" w:customStyle="1" w:styleId="a7">
    <w:name w:val="表头"/>
    <w:basedOn w:val="a"/>
    <w:qFormat/>
    <w:pPr>
      <w:spacing w:beforeLines="50" w:before="50"/>
      <w:ind w:firstLineChars="0" w:firstLine="0"/>
      <w:jc w:val="center"/>
    </w:pPr>
    <w:rPr>
      <w:b/>
      <w:sz w:val="21"/>
    </w:rPr>
  </w:style>
  <w:style w:type="paragraph" w:customStyle="1" w:styleId="a8">
    <w:name w:val="表格"/>
    <w:basedOn w:val="a"/>
    <w:qFormat/>
    <w:pPr>
      <w:spacing w:line="240" w:lineRule="auto"/>
      <w:ind w:firstLineChars="0" w:firstLine="0"/>
      <w:jc w:val="center"/>
    </w:pPr>
    <w:rPr>
      <w:sz w:val="21"/>
    </w:rPr>
  </w:style>
  <w:style w:type="paragraph" w:customStyle="1" w:styleId="a9">
    <w:name w:val="图名"/>
    <w:basedOn w:val="a"/>
    <w:qFormat/>
    <w:pPr>
      <w:spacing w:afterLines="50" w:after="50"/>
      <w:ind w:firstLineChars="0" w:firstLine="0"/>
      <w:jc w:val="center"/>
    </w:pPr>
    <w:rPr>
      <w:b/>
      <w:sz w:val="21"/>
    </w:rPr>
  </w:style>
  <w:style w:type="character" w:customStyle="1" w:styleId="1Char">
    <w:name w:val="（1） Char"/>
    <w:link w:val="10"/>
    <w:qFormat/>
    <w:rPr>
      <w:rFonts w:ascii="Times New Roman" w:hAnsi="Times New Roman"/>
      <w:b/>
    </w:rPr>
  </w:style>
  <w:style w:type="character" w:customStyle="1" w:styleId="font21">
    <w:name w:val="font21"/>
    <w:basedOn w:val="a1"/>
    <w:qFormat/>
    <w:rPr>
      <w:rFonts w:ascii="黑体" w:eastAsia="黑体" w:hAnsi="宋体" w:cs="黑体"/>
      <w:b/>
      <w:color w:val="000000"/>
      <w:sz w:val="21"/>
      <w:szCs w:val="21"/>
      <w:u w:val="none"/>
    </w:rPr>
  </w:style>
  <w:style w:type="character" w:customStyle="1" w:styleId="font11">
    <w:name w:val="font11"/>
    <w:basedOn w:val="a1"/>
    <w:qFormat/>
    <w:rPr>
      <w:rFonts w:ascii="Times New Roman" w:hAnsi="Times New Roman" w:cs="Times New Roman" w:hint="default"/>
      <w:color w:val="000000"/>
      <w:sz w:val="21"/>
      <w:szCs w:val="21"/>
      <w:u w:val="none"/>
      <w:vertAlign w:val="subscript"/>
    </w:rPr>
  </w:style>
  <w:style w:type="character" w:customStyle="1" w:styleId="font01">
    <w:name w:val="font01"/>
    <w:basedOn w:val="a1"/>
    <w:qFormat/>
    <w:rPr>
      <w:rFonts w:ascii="黑体" w:eastAsia="黑体" w:hAnsi="宋体" w:cs="黑体" w:hint="eastAsia"/>
      <w:color w:val="000000"/>
      <w:sz w:val="21"/>
      <w:szCs w:val="21"/>
      <w:u w:val="none"/>
    </w:rPr>
  </w:style>
  <w:style w:type="character" w:customStyle="1" w:styleId="font41">
    <w:name w:val="font41"/>
    <w:basedOn w:val="a1"/>
    <w:qFormat/>
    <w:rPr>
      <w:rFonts w:ascii="Times New Roman" w:hAnsi="Times New Roman" w:cs="Times New Roman" w:hint="default"/>
      <w:color w:val="000000"/>
      <w:sz w:val="21"/>
      <w:szCs w:val="21"/>
      <w:u w:val="none"/>
    </w:rPr>
  </w:style>
  <w:style w:type="character" w:customStyle="1" w:styleId="Char0">
    <w:name w:val="页眉 Char"/>
    <w:basedOn w:val="a1"/>
    <w:link w:val="a5"/>
    <w:qFormat/>
    <w:rPr>
      <w:kern w:val="2"/>
      <w:sz w:val="18"/>
      <w:szCs w:val="18"/>
    </w:rPr>
  </w:style>
  <w:style w:type="character" w:customStyle="1" w:styleId="Char">
    <w:name w:val="页脚 Char"/>
    <w:basedOn w:val="a1"/>
    <w:link w:val="a4"/>
    <w:qFormat/>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tiff"/><Relationship Id="rId47" Type="http://schemas.openxmlformats.org/officeDocument/2006/relationships/image" Target="media/image41.jpeg"/><Relationship Id="rId50" Type="http://schemas.openxmlformats.org/officeDocument/2006/relationships/footer" Target="footer1.xml"/><Relationship Id="rId55" Type="http://schemas.openxmlformats.org/officeDocument/2006/relationships/theme" Target="theme/theme1.xml"/><Relationship Id="rId7" Type="http://schemas.openxmlformats.org/officeDocument/2006/relationships/image" Target="media/image1.emf"/><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tiff"/><Relationship Id="rId45" Type="http://schemas.openxmlformats.org/officeDocument/2006/relationships/image" Target="media/image39.jpeg"/><Relationship Id="rId53"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tiff"/><Relationship Id="rId48" Type="http://schemas.openxmlformats.org/officeDocument/2006/relationships/header" Target="header1.xml"/><Relationship Id="rId8" Type="http://schemas.openxmlformats.org/officeDocument/2006/relationships/image" Target="media/image2.jpeg"/><Relationship Id="rId51"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20" Type="http://schemas.openxmlformats.org/officeDocument/2006/relationships/image" Target="media/image14.jpeg"/><Relationship Id="rId41" Type="http://schemas.openxmlformats.org/officeDocument/2006/relationships/image" Target="media/image35.tiff"/><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header" Target="head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44</Pages>
  <Words>4732</Words>
  <Characters>26979</Characters>
  <Application>Microsoft Office Word</Application>
  <DocSecurity>0</DocSecurity>
  <Lines>224</Lines>
  <Paragraphs>63</Paragraphs>
  <ScaleCrop>false</ScaleCrop>
  <Company/>
  <LinksUpToDate>false</LinksUpToDate>
  <CharactersWithSpaces>31648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tiancai</cp:lastModifiedBy>
  <cp:revision>3</cp:revision>
  <dcterms:created xsi:type="dcterms:W3CDTF">2022-10-08T02:43:00Z</dcterms:created>
  <dcterms:modified xsi:type="dcterms:W3CDTF">2022-10-08T02:50:00Z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95FD3188566E4F4999C7FE2FA77DB413</vt:lpwstr>
  </property>
</Properties>
</file>